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Kanzlei Brögel &amp; Kollegen — Mandatsbogen</w:t>
      </w:r>
    </w:p>
    <w:p>
      <w:r>
        <w:rPr>
          <w:b w:val="0"/>
          <w:sz w:val="20"/>
        </w:rPr>
        <w:t>Az. 184/2024 · Angelegt 12.07.2024 · Dr. Brögel</w:t>
      </w:r>
    </w:p>
    <w:p/>
    <w:p>
      <w:r>
        <w:rPr>
          <w:b/>
          <w:sz w:val="22"/>
        </w:rPr>
        <w:t>Mandantin: Frau Helene Marianne Vogt-Krämer, Provinostraße 18, 86153 Augsburg</w:t>
      </w:r>
    </w:p>
    <w:p>
      <w:r>
        <w:rPr>
          <w:b w:val="0"/>
          <w:sz w:val="22"/>
        </w:rPr>
        <w:t>Gegenstand: Bebauungsplan Nr. 900 "Augsburg-Bahnhofsviertel West" — Normenkontrolle § 47 VwGO + Eilantrag § 47 Abs. 6 VwGO</w:t>
      </w:r>
    </w:p>
    <w:p/>
    <w:p>
      <w:r>
        <w:rPr>
          <w:b/>
          <w:sz w:val="22"/>
        </w:rPr>
        <w:t>Eckdaten:</w:t>
      </w:r>
    </w:p>
    <w:p>
      <w:r>
        <w:rPr>
          <w:b w:val="0"/>
          <w:sz w:val="22"/>
        </w:rPr>
        <w:t>· Bekanntmachung 14.06.2024 — Frist Normenkontrolle bis 16.06.2025</w:t>
      </w:r>
    </w:p>
    <w:p>
      <w:r>
        <w:rPr>
          <w:b w:val="0"/>
          <w:sz w:val="22"/>
        </w:rPr>
        <w:t>· Eigentum: Provinostraße 18, Flurstück 1421/4, Gemarkung Pfersee, Grundbuch Augsburg Bl. 18733</w:t>
      </w:r>
    </w:p>
    <w:p>
      <w:r>
        <w:rPr>
          <w:b w:val="0"/>
          <w:sz w:val="22"/>
        </w:rPr>
        <w:t>· Antragsbefugnis: ja (unmittelbare Anliegerin)</w:t>
      </w:r>
    </w:p>
    <w:p>
      <w:r>
        <w:rPr>
          <w:b w:val="0"/>
          <w:sz w:val="22"/>
        </w:rPr>
        <w:t>· Streitwert HS 60.000 € · EA 30.000 €</w:t>
      </w:r>
    </w:p>
    <w:p>
      <w:r>
        <w:rPr>
          <w:b w:val="0"/>
          <w:sz w:val="22"/>
        </w:rPr>
        <w:t>· Vorschuss 4.500 € (vereinnahmt 22.07.2024)</w:t>
      </w:r>
    </w:p>
    <w:p>
      <w:r>
        <w:rPr>
          <w:b w:val="0"/>
          <w:sz w:val="22"/>
        </w:rPr>
        <w:t>· Interessenkonflikt: keiner</w:t>
      </w:r>
    </w:p>
    <w:p/>
    <w:p>
      <w:r>
        <w:rPr>
          <w:b/>
          <w:sz w:val="22"/>
        </w:rPr>
        <w:t>Schwerpunkte:</w:t>
      </w:r>
    </w:p>
    <w:p>
      <w:r>
        <w:rPr>
          <w:b w:val="0"/>
          <w:sz w:val="22"/>
        </w:rPr>
        <w:t>1. Versäumte erneute Auslegung nach Aufstockung MU 3 (6→8 Geschosse) — § 4a Abs. 3 BauGB</w:t>
      </w:r>
    </w:p>
    <w:p>
      <w:r>
        <w:rPr>
          <w:b w:val="0"/>
          <w:sz w:val="22"/>
        </w:rPr>
        <w:t>2. Schallschutzgutachten ohne Tiefgaragenzufahrt / Außenwohnbereich</w:t>
      </w:r>
    </w:p>
    <w:p>
      <w:r>
        <w:rPr>
          <w:b w:val="0"/>
          <w:sz w:val="22"/>
        </w:rPr>
        <w:t>3. saP Mauersegler im falschen Zeitraum</w:t>
      </w:r>
    </w:p>
    <w:p>
      <w:r>
        <w:rPr>
          <w:b w:val="0"/>
          <w:sz w:val="22"/>
        </w:rPr>
        <w:t>4. Stellplatzschlüssel 0,3/WE ohne tragfähiges Mobilitätskonzept</w:t>
      </w:r>
    </w:p>
    <w:p>
      <w:r>
        <w:rPr>
          <w:b w:val="0"/>
          <w:sz w:val="22"/>
        </w:rPr>
        <w:t>5. Vorfestlegung Durchführungsvertrag 12.05.2022 (E-Mail-Beleg)</w:t>
      </w:r>
    </w:p>
    <w:p>
      <w:r>
        <w:rPr>
          <w:b w:val="0"/>
          <w:sz w:val="22"/>
        </w:rPr>
        <w:t>6. Entwidmung § 23 AEG zum Satzungsbeschluss nicht abgeschlossen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