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2"/>
        </w:rPr>
        <w:t>Kanzlei Brögel &amp; Kollegen</w:t>
      </w:r>
    </w:p>
    <w:p>
      <w:r>
        <w:rPr>
          <w:b w:val="0"/>
          <w:sz w:val="20"/>
        </w:rPr>
        <w:t>Fachanwältin für Verwaltungsrecht</w:t>
      </w:r>
    </w:p>
    <w:p/>
    <w:p>
      <w:r>
        <w:rPr>
          <w:b w:val="0"/>
          <w:sz w:val="22"/>
        </w:rPr>
        <w:t>An den Bayerischen Verwaltungsgerichtshof, Ludwigstr. 23, 80539 München</w:t>
      </w:r>
    </w:p>
    <w:p>
      <w:pPr>
        <w:jc w:val="right"/>
      </w:pPr>
      <w:r>
        <w:rPr>
          <w:b/>
          <w:sz w:val="22"/>
        </w:rPr>
        <w:t>per beA — EILBEDÜRFTIG —</w:t>
      </w:r>
    </w:p>
    <w:p/>
    <w:p>
      <w:pPr>
        <w:jc w:val="right"/>
      </w:pPr>
      <w:r>
        <w:rPr>
          <w:b w:val="0"/>
          <w:sz w:val="20"/>
        </w:rPr>
        <w:t>Augsburg, 14. November 2024</w:t>
      </w:r>
    </w:p>
    <w:p/>
    <w:p>
      <w:r>
        <w:rPr>
          <w:b/>
          <w:sz w:val="22"/>
        </w:rPr>
        <w:t>In dem Verfahren Vogt-Krämer ./. Stadt Augsburg — Eilantrag § 47 Abs. 6 VwGO</w:t>
      </w:r>
    </w:p>
    <w:p/>
    <w:p>
      <w:r>
        <w:rPr>
          <w:b/>
          <w:sz w:val="24"/>
        </w:rPr>
        <w:t>Antrag:</w:t>
      </w:r>
    </w:p>
    <w:p>
      <w:r>
        <w:rPr>
          <w:b/>
          <w:sz w:val="22"/>
        </w:rPr>
        <w:t>Der Bebauungsplan Nr. 900 "Augsburg-Bahnhofsviertel West" wird bis zur Entscheidung in der Hauptsache, längstens sechs Monate, gemäß § 47 Abs. 6 VwGO einstweilen außer Vollzug gesetzt.</w:t>
      </w:r>
    </w:p>
    <w:p>
      <w:r>
        <w:rPr>
          <w:b w:val="0"/>
          <w:sz w:val="22"/>
        </w:rPr>
        <w:t>Hilfsweise: Außervollzugsetzung des Teilbereichs MU 3.</w:t>
      </w:r>
    </w:p>
    <w:p>
      <w:r>
        <w:rPr>
          <w:b w:val="0"/>
          <w:sz w:val="22"/>
        </w:rPr>
        <w:t>Streitwert: 30.000 €.</w:t>
      </w:r>
    </w:p>
    <w:p/>
    <w:p>
      <w:r>
        <w:rPr>
          <w:b/>
          <w:sz w:val="24"/>
        </w:rPr>
        <w:t>Begründung (Kurzfassung):</w:t>
      </w:r>
    </w:p>
    <w:p>
      <w:r>
        <w:rPr>
          <w:b w:val="0"/>
          <w:sz w:val="22"/>
        </w:rPr>
        <w:t>Der Eilantrag ist nach § 47 Abs. 6 VwGO statthaft. Wegen der erheblichen Erfolgsaussichten in der Hauptsache (insbesondere versäumte erneute Auslegung; Ermittlungsdefizit Lärm; Vorfestlegung) sowie der akut drohenden Schaffung irreversibler Tatsachen durch die seit dem 2. Juli 2024 anhängige Baugenehmigung MU 3 ist eine einstweilige Außervollzugsetzung dringend geboten.</w:t>
      </w:r>
    </w:p>
    <w:p/>
    <w:p>
      <w:r>
        <w:rPr>
          <w:b w:val="0"/>
          <w:sz w:val="22"/>
        </w:rPr>
        <w:t>Eine Hauptsacheentscheidung erst nach Errichtung der Tiefgaragenzufahrt und Beseitigung des Mauerseglerhabitats käme zu spät (BVerwG, Beschl. v. 25.02.2015 – 4 VR 5.14).</w:t>
      </w:r>
    </w:p>
    <w:p/>
    <w:p/>
    <w:p>
      <w:r>
        <w:rPr>
          <w:b w:val="0"/>
          <w:sz w:val="22"/>
        </w:rPr>
        <w:t>Dr. Andrea Brögel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