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rFonts w:ascii="Calibri" w:hAnsi="Calibri"/>
          <w:color w:val="1A4A5C"/>
          <w:sz w:val="28"/>
        </w:rPr>
        <w:t>Term Sheet - Rechtsvergleich</w:t>
      </w:r>
    </w:p>
    <w:p>
      <w:pPr>
        <w:pStyle w:val="Heading2"/>
      </w:pPr>
      <w:r>
        <w:rPr>
          <w:rFonts w:ascii="Calibri" w:hAnsi="Calibri"/>
          <w:color w:val="2A6A8C"/>
          <w:sz w:val="22"/>
        </w:rPr>
        <w:t>Delaware / New York Law vs. English Law vs. Deutsches Recht</w:t>
      </w:r>
    </w:p>
    <w:p>
      <w:r>
        <w:rPr>
          <w:rFonts w:ascii="Calibri" w:hAnsi="Calibri"/>
          <w:i/>
          <w:sz w:val="18"/>
        </w:rPr>
        <w:t>Aktenzeichen: CLC-2024-HH-007 | Parteien: RheinMain Sensors GmbH | Blue Harbor (UK) Ltd. / Blue Harbor Systems Inc. | Stand: 08. April 2024</w:t>
      </w:r>
    </w:p>
    <w:p/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2428"/>
        <w:gridCol w:w="2428"/>
        <w:gridCol w:w="2428"/>
        <w:gridCol w:w="2428"/>
        <w:gridCol w:w="2428"/>
        <w:gridCol w:w="2428"/>
      </w:tblGrid>
      <w:tr>
        <w:tc>
          <w:tcPr>
            <w:tcW w:type="dxa" w:w="432"/>
            <w:vAlign w:val="top"/>
            <w:shd w:val="clear" w:color="auto" w:fill="1A4A5C"/>
          </w:tcPr>
          <w:p>
            <w:r>
              <w:rPr>
                <w:rFonts w:ascii="Calibri" w:hAnsi="Calibri"/>
                <w:b/>
                <w:i w:val="0"/>
                <w:color w:val="FFFFFF"/>
                <w:sz w:val="16"/>
              </w:rPr>
              <w:t>Nr.</w:t>
            </w:r>
          </w:p>
        </w:tc>
        <w:tc>
          <w:tcPr>
            <w:tcW w:type="dxa" w:w="1728"/>
            <w:vAlign w:val="top"/>
            <w:shd w:val="clear" w:color="auto" w:fill="1A4A5C"/>
          </w:tcPr>
          <w:p>
            <w:r>
              <w:rPr>
                <w:rFonts w:ascii="Calibri" w:hAnsi="Calibri"/>
                <w:b/>
                <w:i w:val="0"/>
                <w:color w:val="FFFFFF"/>
                <w:sz w:val="16"/>
              </w:rPr>
              <w:t>Thema</w:t>
            </w:r>
          </w:p>
        </w:tc>
        <w:tc>
          <w:tcPr>
            <w:tcW w:type="dxa" w:w="2880"/>
            <w:vAlign w:val="top"/>
            <w:shd w:val="clear" w:color="auto" w:fill="1A4A5C"/>
          </w:tcPr>
          <w:p>
            <w:r>
              <w:rPr>
                <w:rFonts w:ascii="Calibri" w:hAnsi="Calibri"/>
                <w:b/>
                <w:i w:val="0"/>
                <w:color w:val="FFFFFF"/>
                <w:sz w:val="16"/>
              </w:rPr>
              <w:t>Delaware / New York Law</w:t>
            </w:r>
          </w:p>
        </w:tc>
        <w:tc>
          <w:tcPr>
            <w:tcW w:type="dxa" w:w="2880"/>
            <w:vAlign w:val="top"/>
            <w:shd w:val="clear" w:color="auto" w:fill="1A4A5C"/>
          </w:tcPr>
          <w:p>
            <w:r>
              <w:rPr>
                <w:rFonts w:ascii="Calibri" w:hAnsi="Calibri"/>
                <w:b/>
                <w:i w:val="0"/>
                <w:color w:val="FFFFFF"/>
                <w:sz w:val="16"/>
              </w:rPr>
              <w:t>English Law</w:t>
            </w:r>
          </w:p>
        </w:tc>
        <w:tc>
          <w:tcPr>
            <w:tcW w:type="dxa" w:w="2880"/>
            <w:vAlign w:val="top"/>
            <w:shd w:val="clear" w:color="auto" w:fill="1A4A5C"/>
          </w:tcPr>
          <w:p>
            <w:r>
              <w:rPr>
                <w:rFonts w:ascii="Calibri" w:hAnsi="Calibri"/>
                <w:b/>
                <w:i w:val="0"/>
                <w:color w:val="FFFFFF"/>
                <w:sz w:val="16"/>
              </w:rPr>
              <w:t>Deutsches Recht</w:t>
            </w:r>
          </w:p>
        </w:tc>
        <w:tc>
          <w:tcPr>
            <w:tcW w:type="dxa" w:w="2880"/>
            <w:vAlign w:val="top"/>
            <w:shd w:val="clear" w:color="auto" w:fill="1A4A5C"/>
          </w:tcPr>
          <w:p>
            <w:r>
              <w:rPr>
                <w:rFonts w:ascii="Calibri" w:hAnsi="Calibri"/>
                <w:b/>
                <w:i w:val="0"/>
                <w:color w:val="FFFFFF"/>
                <w:sz w:val="16"/>
              </w:rPr>
              <w:t>Empfehlung / Mandantin</w:t>
            </w:r>
          </w:p>
        </w:tc>
      </w:tr>
      <w:tr>
        <w:tc>
          <w:tcPr>
            <w:tcW w:type="dxa" w:w="432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1</w:t>
            </w:r>
          </w:p>
        </w:tc>
        <w:tc>
          <w:tcPr>
            <w:tcW w:type="dxa" w:w="1728"/>
            <w:vAlign w:val="top"/>
            <w:shd w:val="clear" w:color="auto" w:fill="FFFFFF"/>
          </w:tcPr>
          <w:p>
            <w:r>
              <w:rPr>
                <w:rFonts w:ascii="Calibri" w:hAnsi="Calibri"/>
                <w:b/>
                <w:i w:val="0"/>
                <w:sz w:val="16"/>
              </w:rPr>
              <w:t>Anwendbares Recht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New York Law (Zahlungen), Delaware Law (Corporate Auth.)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Recht von England und Wales (gesamt)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Deutsches Recht (BGB, HGB) fuer alle Teile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DE bevorzugt. Einheitliches Statut vermeidet Depegage-Risiken.</w:t>
            </w:r>
          </w:p>
        </w:tc>
      </w:tr>
      <w:tr>
        <w:tc>
          <w:tcPr>
            <w:tcW w:type="dxa" w:w="432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2</w:t>
            </w:r>
          </w:p>
        </w:tc>
        <w:tc>
          <w:tcPr>
            <w:tcW w:type="dxa" w:w="1728"/>
            <w:vAlign w:val="top"/>
            <w:shd w:val="clear" w:color="auto" w:fill="EAF2F5"/>
          </w:tcPr>
          <w:p>
            <w:r>
              <w:rPr>
                <w:rFonts w:ascii="Calibri" w:hAnsi="Calibri"/>
                <w:b/>
                <w:i w:val="0"/>
                <w:sz w:val="16"/>
              </w:rPr>
              <w:t>Consideration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Zwingend; nominal consideration (USD 1) ausreichend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Zwingend; Formel "for good and valuable consideration" genuegt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Irrelevant als Wirksamkeitsvoraussetzung; kein Aequivalent im BGB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DE unkomplizierter. Consideration-Formel weglassen.</w:t>
            </w:r>
          </w:p>
        </w:tc>
      </w:tr>
      <w:tr>
        <w:tc>
          <w:tcPr>
            <w:tcW w:type="dxa" w:w="432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3</w:t>
            </w:r>
          </w:p>
        </w:tc>
        <w:tc>
          <w:tcPr>
            <w:tcW w:type="dxa" w:w="1728"/>
            <w:vAlign w:val="top"/>
            <w:shd w:val="clear" w:color="auto" w:fill="FFFFFF"/>
          </w:tcPr>
          <w:p>
            <w:r>
              <w:rPr>
                <w:rFonts w:ascii="Calibri" w:hAnsi="Calibri"/>
                <w:b/>
                <w:i w:val="0"/>
                <w:sz w:val="16"/>
              </w:rPr>
              <w:t>Gewährleistung / Warranty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UCC Art. 2: Implied warranty of merchantability; AS-IS-Disclaimer moeglich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Sale of Goods Act 1979; Implied terms; B2B teilweise abdingbar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§§ 434-445 BGB: Sachmaengelhaftung; Maengelruege § 377 HGB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DE: Maengelrugefristen schuetzen Lieferanten. US-Disclaimer in DE-AGB unwirksam.</w:t>
            </w:r>
          </w:p>
        </w:tc>
      </w:tr>
      <w:tr>
        <w:tc>
          <w:tcPr>
            <w:tcW w:type="dxa" w:w="432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4</w:t>
            </w:r>
          </w:p>
        </w:tc>
        <w:tc>
          <w:tcPr>
            <w:tcW w:type="dxa" w:w="1728"/>
            <w:vAlign w:val="top"/>
            <w:shd w:val="clear" w:color="auto" w:fill="EAF2F5"/>
          </w:tcPr>
          <w:p>
            <w:r>
              <w:rPr>
                <w:rFonts w:ascii="Calibri" w:hAnsi="Calibri"/>
                <w:b/>
                <w:i w:val="0"/>
                <w:sz w:val="16"/>
              </w:rPr>
              <w:t>Haftungsdeckel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Cap = 12 Monate Verguetung; Carve-outs fuer Indemnities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Direct damages cap = Jahresauftragswert; Consequential damages ausgeschlossen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Cap individuell vereinbar; AGB: § 307 BGB-Kontrolle; ProdHaftG zwingend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EUR 5 Mio. / EUR 10 Mio.-Cap AGB-konform mit Kardinalpflichten-Carve-Out.</w:t>
            </w:r>
          </w:p>
        </w:tc>
      </w:tr>
      <w:tr>
        <w:tc>
          <w:tcPr>
            <w:tcW w:type="dxa" w:w="432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5</w:t>
            </w:r>
          </w:p>
        </w:tc>
        <w:tc>
          <w:tcPr>
            <w:tcW w:type="dxa" w:w="1728"/>
            <w:vAlign w:val="top"/>
            <w:shd w:val="clear" w:color="auto" w:fill="FFFFFF"/>
          </w:tcPr>
          <w:p>
            <w:r>
              <w:rPr>
                <w:rFonts w:ascii="Calibri" w:hAnsi="Calibri"/>
                <w:b/>
                <w:i w:val="0"/>
                <w:sz w:val="16"/>
              </w:rPr>
              <w:t>Consequential Damages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Vollstaendiger Ausschluss haeufig; NY: unterschiedliche Auslegung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Hadley v Baxendale-Test; vorhersehbare Schaeden; abdingbar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§ 252 BGB: entgangener Gewinn = direkter Schaden; AGB-Ausschluss § 309 Nr. 7 unzulaessig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Kritisch: US-Waiver in DE-AGB unwirksam. Individuell aushandeln.</w:t>
            </w:r>
          </w:p>
        </w:tc>
      </w:tr>
      <w:tr>
        <w:tc>
          <w:tcPr>
            <w:tcW w:type="dxa" w:w="432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6</w:t>
            </w:r>
          </w:p>
        </w:tc>
        <w:tc>
          <w:tcPr>
            <w:tcW w:type="dxa" w:w="1728"/>
            <w:vAlign w:val="top"/>
            <w:shd w:val="clear" w:color="auto" w:fill="EAF2F5"/>
          </w:tcPr>
          <w:p>
            <w:r>
              <w:rPr>
                <w:rFonts w:ascii="Calibri" w:hAnsi="Calibri"/>
                <w:b/>
                <w:i w:val="0"/>
                <w:sz w:val="16"/>
              </w:rPr>
              <w:t>Indemnification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Broad indemnity; Third-Party Claims; verschuldensunabhaengig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Indemnity = primaere Verpflichtung; Guarantee = akzessorisch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§ 257 BGB: Freistellungsanspruch; § 765 BGB: Buergschaft; § 414 BGB: Schuldbeitritt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EN-Indemnity entspricht eher Schuldbeitritt (§ 414 BGB) als Buergschaft.</w:t>
            </w:r>
          </w:p>
        </w:tc>
      </w:tr>
      <w:tr>
        <w:tc>
          <w:tcPr>
            <w:tcW w:type="dxa" w:w="432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7</w:t>
            </w:r>
          </w:p>
        </w:tc>
        <w:tc>
          <w:tcPr>
            <w:tcW w:type="dxa" w:w="1728"/>
            <w:vAlign w:val="top"/>
            <w:shd w:val="clear" w:color="auto" w:fill="FFFFFF"/>
          </w:tcPr>
          <w:p>
            <w:r>
              <w:rPr>
                <w:rFonts w:ascii="Calibri" w:hAnsi="Calibri"/>
                <w:b/>
                <w:i w:val="0"/>
                <w:sz w:val="16"/>
              </w:rPr>
              <w:t>Parent Guarantee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Corporate Guarantee: Board-Beschluss; Delaware Corp. Law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Deed of Guarantee: Deed-Form erforderlich; First Demand Guarantee moeglich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Buergschaft §§ 765 ff. BGB: schriftlich, akzessorisch; selbstschuldnerisch § 773 Abs. 1 Nr. 1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First Demand Guarantee als Deed (EN Law) empfohlen: schnell vollstreckbar.</w:t>
            </w:r>
          </w:p>
        </w:tc>
      </w:tr>
      <w:tr>
        <w:tc>
          <w:tcPr>
            <w:tcW w:type="dxa" w:w="432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8</w:t>
            </w:r>
          </w:p>
        </w:tc>
        <w:tc>
          <w:tcPr>
            <w:tcW w:type="dxa" w:w="1728"/>
            <w:vAlign w:val="top"/>
            <w:shd w:val="clear" w:color="auto" w:fill="EAF2F5"/>
          </w:tcPr>
          <w:p>
            <w:r>
              <w:rPr>
                <w:rFonts w:ascii="Calibri" w:hAnsi="Calibri"/>
                <w:b/>
                <w:i w:val="0"/>
                <w:sz w:val="16"/>
              </w:rPr>
              <w:t>Schiedsverfahren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AAA oder JAMS; Seat NY; FAA; US-Vollstreckung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LCIA London oder ICC; English Arbitration Act 1996; Seat London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DIS-SchO 2021; § 1025 ff. ZPO; Seat Hamburg; NYC-Convention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DE bevorzugt. DIS guenstiger als LCIA; Hamburg optimal fuer Mandantin.</w:t>
            </w:r>
          </w:p>
        </w:tc>
      </w:tr>
      <w:tr>
        <w:tc>
          <w:tcPr>
            <w:tcW w:type="dxa" w:w="432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9</w:t>
            </w:r>
          </w:p>
        </w:tc>
        <w:tc>
          <w:tcPr>
            <w:tcW w:type="dxa" w:w="1728"/>
            <w:vAlign w:val="top"/>
            <w:shd w:val="clear" w:color="auto" w:fill="FFFFFF"/>
          </w:tcPr>
          <w:p>
            <w:r>
              <w:rPr>
                <w:rFonts w:ascii="Calibri" w:hAnsi="Calibri"/>
                <w:b/>
                <w:i w:val="0"/>
                <w:sz w:val="16"/>
              </w:rPr>
              <w:t>Vertragsstrafe / Penalty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Liquidated damages = valid; penalty clause = void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Cavendish-Test (2015); LD als genuine pre-estimate of loss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Vertragsstrafe § 339 BGB zulaessig; Herabsetzung § 343 BGB moeglich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Im EN-Text: 'liquidated damages' statt 'penalty' schreiben.</w:t>
            </w:r>
          </w:p>
        </w:tc>
      </w:tr>
      <w:tr>
        <w:tc>
          <w:tcPr>
            <w:tcW w:type="dxa" w:w="432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10</w:t>
            </w:r>
          </w:p>
        </w:tc>
        <w:tc>
          <w:tcPr>
            <w:tcW w:type="dxa" w:w="1728"/>
            <w:vAlign w:val="top"/>
            <w:shd w:val="clear" w:color="auto" w:fill="EAF2F5"/>
          </w:tcPr>
          <w:p>
            <w:r>
              <w:rPr>
                <w:rFonts w:ascii="Calibri" w:hAnsi="Calibri"/>
                <w:b/>
                <w:i w:val="0"/>
                <w:sz w:val="16"/>
              </w:rPr>
              <w:t>Depegage / Split Law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Ueblich: NY (Zahlung) + Delaware (Corp.) + EN (Arbitration)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Moeglich, aber riskant; Widersprueche zwischen Statuten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Art. 3 Abs. 1 Rom I-VO erlaubt Depegage; Widerspruchsrisiko hoch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Ablehnen. Einheitliches Statut (DE oder EN) unbedingt bevorzugen.</w:t>
            </w:r>
          </w:p>
        </w:tc>
      </w:tr>
      <w:tr>
        <w:tc>
          <w:tcPr>
            <w:tcW w:type="dxa" w:w="432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11</w:t>
            </w:r>
          </w:p>
        </w:tc>
        <w:tc>
          <w:tcPr>
            <w:tcW w:type="dxa" w:w="1728"/>
            <w:vAlign w:val="top"/>
            <w:shd w:val="clear" w:color="auto" w:fill="FFFFFF"/>
          </w:tcPr>
          <w:p>
            <w:r>
              <w:rPr>
                <w:rFonts w:ascii="Calibri" w:hAnsi="Calibri"/>
                <w:b/>
                <w:i w:val="0"/>
                <w:sz w:val="16"/>
              </w:rPr>
              <w:t>Good Faith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UCC-Pflicht in Handelsvertraegen; kein allg. Common-Law-Gebot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Walford v Miles (1992): kein allg. good-faith-Gebot in EN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§ 242 BGB: Treu und Glauben als Generalklausel; vorvertraglich §§ 311 Abs. 2, 241 Abs. 2 BGB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DE staerker: culpa in contrahendo schuetzt vor Abbruch laufender Verhandlungen.</w:t>
            </w:r>
          </w:p>
        </w:tc>
      </w:tr>
      <w:tr>
        <w:tc>
          <w:tcPr>
            <w:tcW w:type="dxa" w:w="432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12</w:t>
            </w:r>
          </w:p>
        </w:tc>
        <w:tc>
          <w:tcPr>
            <w:tcW w:type="dxa" w:w="1728"/>
            <w:vAlign w:val="top"/>
            <w:shd w:val="clear" w:color="auto" w:fill="EAF2F5"/>
          </w:tcPr>
          <w:p>
            <w:r>
              <w:rPr>
                <w:rFonts w:ascii="Calibri" w:hAnsi="Calibri"/>
                <w:b/>
                <w:i w:val="0"/>
                <w:sz w:val="16"/>
              </w:rPr>
              <w:t>Datenschutz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CCPA + State laws; kein Bundes-DS-Gesetz; SCCs fuer EU-Transfer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UK GDPR + DPA 2018; Angmessenheitsbeschluss 2023 (Uebergangsstatus)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DSGVO + BDSG; Art. 28 DSGVO: Auftragsverarbeitungsvertrag (AVV)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AVV separat abschliessen; UK-Angmessenheitsbeschluss 2024 ueberwachen.</w:t>
            </w:r>
          </w:p>
        </w:tc>
      </w:tr>
      <w:tr>
        <w:tc>
          <w:tcPr>
            <w:tcW w:type="dxa" w:w="432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13</w:t>
            </w:r>
          </w:p>
        </w:tc>
        <w:tc>
          <w:tcPr>
            <w:tcW w:type="dxa" w:w="1728"/>
            <w:vAlign w:val="top"/>
            <w:shd w:val="clear" w:color="auto" w:fill="FFFFFF"/>
          </w:tcPr>
          <w:p>
            <w:r>
              <w:rPr>
                <w:rFonts w:ascii="Calibri" w:hAnsi="Calibri"/>
                <w:b/>
                <w:i w:val="0"/>
                <w:sz w:val="16"/>
              </w:rPr>
              <w:t>Produkthaftung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Strict liability (Restatement Third); Punitive Damages moeglich; teuer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Consumer Protection Act 1987: Gefaehrdungshaftung; keine Punitive Damages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ProdHaftG: Gefaehrdungshaftung; keine Punitive Damages; max. EUR 85 Mio.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ProdHaftG ist zwingend, gilt unabhaengig vom Vertragsstatut (Art. 28 Rom II-VO).</w:t>
            </w:r>
          </w:p>
        </w:tc>
      </w:tr>
      <w:tr>
        <w:tc>
          <w:tcPr>
            <w:tcW w:type="dxa" w:w="432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14</w:t>
            </w:r>
          </w:p>
        </w:tc>
        <w:tc>
          <w:tcPr>
            <w:tcW w:type="dxa" w:w="1728"/>
            <w:vAlign w:val="top"/>
            <w:shd w:val="clear" w:color="auto" w:fill="EAF2F5"/>
          </w:tcPr>
          <w:p>
            <w:r>
              <w:rPr>
                <w:rFonts w:ascii="Calibri" w:hAnsi="Calibri"/>
                <w:b/>
                <w:i w:val="0"/>
                <w:sz w:val="16"/>
              </w:rPr>
              <w:t>Intellectual Property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Work for Hire (17 U.S.C. § 101): Auftragswerk = Eigentum Besteller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CDPA 1988: Contractor-Werke bleiben beim Ersteller ohne Abtretungsvertrag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UrhG: Schoepferprinzip; kein Work for Hire; nur Nutzungsrechte abtretbar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US-Work-for-hire-Klausel nach DE UrhG wirkungslos. Nutzungsrechtslizenz korrekt formulieren.</w:t>
            </w:r>
          </w:p>
        </w:tc>
      </w:tr>
      <w:tr>
        <w:tc>
          <w:tcPr>
            <w:tcW w:type="dxa" w:w="432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15</w:t>
            </w:r>
          </w:p>
        </w:tc>
        <w:tc>
          <w:tcPr>
            <w:tcW w:type="dxa" w:w="1728"/>
            <w:vAlign w:val="top"/>
            <w:shd w:val="clear" w:color="auto" w:fill="FFFFFF"/>
          </w:tcPr>
          <w:p>
            <w:r>
              <w:rPr>
                <w:rFonts w:ascii="Calibri" w:hAnsi="Calibri"/>
                <w:b/>
                <w:i w:val="0"/>
                <w:sz w:val="16"/>
              </w:rPr>
              <w:t>Exportkontrolle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EAR / ITAR; AES-Meldepflicht; US-extraterritorial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Export Control Order 2008; UK Strategic Export Licensing (post-Brexit)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AWG + AWV; EU Dual-Use-VO (EU) 2021/821; ATEX-Klassifizierung pruefen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Export-Compliance-Audit vor Signing; ATEX-Klasse der RS-900X verifizieren.</w:t>
            </w:r>
          </w:p>
        </w:tc>
      </w:tr>
      <w:tr>
        <w:tc>
          <w:tcPr>
            <w:tcW w:type="dxa" w:w="432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16</w:t>
            </w:r>
          </w:p>
        </w:tc>
        <w:tc>
          <w:tcPr>
            <w:tcW w:type="dxa" w:w="1728"/>
            <w:vAlign w:val="top"/>
            <w:shd w:val="clear" w:color="auto" w:fill="EAF2F5"/>
          </w:tcPr>
          <w:p>
            <w:r>
              <w:rPr>
                <w:rFonts w:ascii="Calibri" w:hAnsi="Calibri"/>
                <w:b/>
                <w:i w:val="0"/>
                <w:sz w:val="16"/>
              </w:rPr>
              <w:t>Kuendigung / Termination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Termination for Convenience + for Cause; Cure Period 30 Tage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Termination for Breach; kein allg. Ruecktrittsrecht ohne Vertragsklausel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§§ 314, 323 BGB: Kuendigung aus wichtigem Grund; Fristsetzung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Ruecktrittsrecht § 323 BGB fuer Qualitaetsmaengel; Heilungsfrist 15 Werktage.</w:t>
            </w:r>
          </w:p>
        </w:tc>
      </w:tr>
      <w:tr>
        <w:tc>
          <w:tcPr>
            <w:tcW w:type="dxa" w:w="432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17</w:t>
            </w:r>
          </w:p>
        </w:tc>
        <w:tc>
          <w:tcPr>
            <w:tcW w:type="dxa" w:w="1728"/>
            <w:vAlign w:val="top"/>
            <w:shd w:val="clear" w:color="auto" w:fill="FFFFFF"/>
          </w:tcPr>
          <w:p>
            <w:r>
              <w:rPr>
                <w:rFonts w:ascii="Calibri" w:hAnsi="Calibri"/>
                <w:b/>
                <w:i w:val="0"/>
                <w:sz w:val="16"/>
              </w:rPr>
              <w:t>Eigentumsvorbehalt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Retention of Title (Romalpa-Clause): UCC § 2-401; filing erforderlich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Romalpa Clause (Aluminium Industrie v Romalpa, 1976)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§ 449 BGB: Eigentumsvorbehalt; einfach, verlaengert, erweiterter EV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Erweiterter Eigentumsvorbehalt aufnehmen; Registrierung im UK pruefen.</w:t>
            </w:r>
          </w:p>
        </w:tc>
      </w:tr>
      <w:tr>
        <w:tc>
          <w:tcPr>
            <w:tcW w:type="dxa" w:w="432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18</w:t>
            </w:r>
          </w:p>
        </w:tc>
        <w:tc>
          <w:tcPr>
            <w:tcW w:type="dxa" w:w="1728"/>
            <w:vAlign w:val="top"/>
            <w:shd w:val="clear" w:color="auto" w:fill="EAF2F5"/>
          </w:tcPr>
          <w:p>
            <w:r>
              <w:rPr>
                <w:rFonts w:ascii="Calibri" w:hAnsi="Calibri"/>
                <w:b/>
                <w:i w:val="0"/>
                <w:sz w:val="16"/>
              </w:rPr>
              <w:t>Preisanpassung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CPI / PPI-Eskalation; USD-Preis; oft fest oder caps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RPI / CPI-Indexklausel; GBP-Basis; rechtlich unproblematisch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§§ 315, 316 BGB; Indexierung an Statistisches Bundesamt; EUR-Basis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EUR-Preis + deutscher VPI. Waehrungsrisiko USD/GBP durch EUR-Klausel minimiert.</w:t>
            </w:r>
          </w:p>
        </w:tc>
      </w:tr>
      <w:tr>
        <w:tc>
          <w:tcPr>
            <w:tcW w:type="dxa" w:w="432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19</w:t>
            </w:r>
          </w:p>
        </w:tc>
        <w:tc>
          <w:tcPr>
            <w:tcW w:type="dxa" w:w="1728"/>
            <w:vAlign w:val="top"/>
            <w:shd w:val="clear" w:color="auto" w:fill="FFFFFF"/>
          </w:tcPr>
          <w:p>
            <w:r>
              <w:rPr>
                <w:rFonts w:ascii="Calibri" w:hAnsi="Calibri"/>
                <w:b/>
                <w:i w:val="0"/>
                <w:sz w:val="16"/>
              </w:rPr>
              <w:t>Geheimhaltung / NDA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DTSA (Defend Trade Secrets Act); NDA 2-5 Jahre; Tort + Contract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Common Law duty of confidence + NDA; keine gesetzliche Mindestlaufzeit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GeschGehG; Umsetzung EU RL 2016/943; Schutz an Massznahmenpflicht geknuepft</w:t>
            </w:r>
          </w:p>
        </w:tc>
        <w:tc>
          <w:tcPr>
            <w:tcW w:type="dxa" w:w="2880"/>
            <w:vAlign w:val="top"/>
            <w:shd w:val="clear" w:color="auto" w:fill="FFFFFF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Separates NDA nach GeschGehG; Geheimhaltungsmassnahmen dokumentieren.</w:t>
            </w:r>
          </w:p>
        </w:tc>
      </w:tr>
      <w:tr>
        <w:tc>
          <w:tcPr>
            <w:tcW w:type="dxa" w:w="432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20</w:t>
            </w:r>
          </w:p>
        </w:tc>
        <w:tc>
          <w:tcPr>
            <w:tcW w:type="dxa" w:w="1728"/>
            <w:vAlign w:val="top"/>
            <w:shd w:val="clear" w:color="auto" w:fill="EAF2F5"/>
          </w:tcPr>
          <w:p>
            <w:r>
              <w:rPr>
                <w:rFonts w:ascii="Calibri" w:hAnsi="Calibri"/>
                <w:b/>
                <w:i w:val="0"/>
                <w:sz w:val="16"/>
              </w:rPr>
              <w:t>Gerichtsstand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SDNY oder EDNY; NY-Gerichte weltweit anerkannt; hohe Kosten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Commercial Court / High Court London; Vollstreckung via Hague Convention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LG Hamburg § 38 ZPO; schnell; kostenguenstig; EuGVVO-Vollstreckung in EU</w:t>
            </w:r>
          </w:p>
        </w:tc>
        <w:tc>
          <w:tcPr>
            <w:tcW w:type="dxa" w:w="2880"/>
            <w:vAlign w:val="top"/>
            <w:shd w:val="clear" w:color="auto" w:fill="EAF2F5"/>
          </w:tcPr>
          <w:p>
            <w:r>
              <w:rPr>
                <w:rFonts w:ascii="Calibri" w:hAnsi="Calibri"/>
                <w:b w:val="0"/>
                <w:i w:val="0"/>
                <w:sz w:val="16"/>
              </w:rPr>
              <w:t>LG Hamburg fuer einstw. Rechtsschutz; DIS-Schiedsklausel fuer Hauptsache.</w:t>
            </w:r>
          </w:p>
        </w:tc>
      </w:tr>
    </w:tbl>
    <w:p/>
    <w:p>
      <w:r>
        <w:rPr>
          <w:rFonts w:ascii="Calibri" w:hAnsi="Calibri"/>
          <w:b/>
          <w:sz w:val="18"/>
        </w:rPr>
        <w:t xml:space="preserve">Zusammenfassung: </w:t>
      </w:r>
      <w:r>
        <w:rPr>
          <w:rFonts w:ascii="Calibri" w:hAnsi="Calibri"/>
          <w:sz w:val="18"/>
        </w:rPr>
        <w:t>Praeferierte Loesung: Deutsches Recht (Nr. 1), DIS Hamburg (Nr. 8), EUR-Preis (Nr. 18), Parent Guarantee als Deed EN Law (Nr. 7). Nicht verhandelbar: Kein Ausschluss ProdHaftG (Nr. 13), kein vollstaendiger Waiver of Consequential Damages in AGB (Nr. 5), keine US-Work-for-Hire-Klausel (Nr. 14).</w:t>
      </w:r>
    </w:p>
    <w:p/>
    <w:p>
      <w:r>
        <w:rPr>
          <w:rFonts w:ascii="Calibri" w:hAnsi="Calibri"/>
          <w:i/>
          <w:color w:val="808080"/>
          <w:sz w:val="16"/>
        </w:rPr>
        <w:t>Term Sheet - Arbeitsfassung, nicht rechtsverbindlich. Inhalte fiktiv. Keine Rechtsberatung. Kanzlei Brandt &amp; Wessel, Hamburg, April 2024.</w:t>
      </w:r>
    </w:p>
    <w:sectPr w:rsidR="00FC693F" w:rsidRPr="0006063C" w:rsidSect="00034616">
      <w:headerReference w:type="default" r:id="rId9"/>
      <w:pgSz w:w="16838" w:h="11906"/>
      <w:pgMar w:top="1417" w:right="1134" w:bottom="141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color w:val="707070"/>
        <w:sz w:val="16"/>
      </w:rPr>
      <w:t>Term Sheet - Rechtsvergleich | CLC-2024-HH-007 | Kanzlei Brandt &amp; Wessel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