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color w:val="1B474D"/>
          <w:sz w:val="30"/>
        </w:rPr>
        <w:t>STROMLIEFERVERTRAG (SONDERVERTRAG INDUSTRIEKUNDE)</w:t>
      </w:r>
    </w:p>
    <w:p>
      <w:pPr>
        <w:jc w:val="center"/>
      </w:pPr>
      <w:r>
        <w:rPr>
          <w:rFonts w:ascii="Calibri" w:hAnsi="Calibri"/>
          <w:color w:val="7A7974"/>
          <w:sz w:val="18"/>
        </w:rPr>
        <w:t>Vertragsnummer: SWKK-SLV-IND-2026-001 · Entwurf Oktober 2026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Lieferant</w:t>
            </w:r>
          </w:p>
        </w:tc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Abnehmer (Industriekunde)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Stadtwerke Klotzkette AG</w:t>
              <w:br/>
              <w:t>Bahnhofstraße 12, 59348 Lüdinghausen</w:t>
              <w:br/>
              <w:t>HRB 18642, AG Münster</w:t>
              <w:br/>
              <w:t>Vertreten durch: Dr. Gerda Wohlfahrt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Hafenbogen Logistik GmbH</w:t>
              <w:br/>
              <w:t>Werftweg 44, 59348 Lüdinghausen</w:t>
              <w:br/>
              <w:t>HRB 29817, AG Münster</w:t>
              <w:br/>
              <w:t>Vertreten durch: Klaus-Dieter Reinbold</w:t>
            </w:r>
          </w:p>
        </w:tc>
      </w:tr>
    </w:tbl>
    <w:p/>
    <w:p>
      <w:r>
        <w:rPr>
          <w:rFonts w:ascii="Calibri" w:hAnsi="Calibri"/>
          <w:b/>
          <w:i w:val="0"/>
          <w:color w:val="1B474D"/>
          <w:sz w:val="24"/>
        </w:rPr>
        <w:t>Wesentliche Vertragskonditionen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Wert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Lieferstelle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Übergabestation Kühlhaus, Werftweg 44, 59348 Lüdinghausen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Jahresliefermenge (2027)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8.200 MWh/a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Lastspitze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1.250 kW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Jahresbenutzungsstunden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6.560 h/a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Arbeitspreis HT (Mo–Fr 06:00–22:00)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18,40 Cent/kWh (netto)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Arbeitspreis NT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14,20 Cent/kWh (netto)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Leistungspreis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8,50 EUR/kW/Monat (netto)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Vertragslaufzeit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10 Jahre (01.01.2027 – 31.12.2036)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Messart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RLM-Zähler, 15-Minuten-Lastgang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Sicherheitsleistung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ca. 65.000 EUR (3 Monatsabschläge, Bankbürgschaft)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Grünstromanteil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Mindestens 50 % aus erneuerbaren Energien (HKN-belegt)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Demand-Response-Pflicht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Max. 4 h/Ereignis, max. 20 h/Jahr, Gegenleistung: Flex-Bonus</w:t>
            </w:r>
          </w:p>
        </w:tc>
      </w:tr>
    </w:tbl>
    <w:p/>
    <w:p>
      <w:r>
        <w:rPr>
          <w:rFonts w:ascii="Calibri" w:hAnsi="Calibri"/>
          <w:b/>
          <w:i w:val="0"/>
          <w:color w:val="1B474D"/>
          <w:sz w:val="24"/>
        </w:rPr>
        <w:t>Besondere Vereinbarungen</w:t>
      </w:r>
    </w:p>
    <w:p>
      <w:r>
        <w:rPr>
          <w:rFonts w:ascii="Calibri" w:hAnsi="Calibri"/>
          <w:sz w:val="20"/>
        </w:rPr>
        <w:t>1. Quartiersstrom-Vorzugslieferung: PV-Überschussstrom aus dem Quartier wird bevorzugt und zu einem reduzierten Vorzugspreis von 12,50 Cent/kWh (netto) geliefert.</w:t>
        <w:br/>
        <w:br/>
        <w:t>2. Preisanpassung: Arbeitspreise halbjährlich nach EPEX-Spot-Baseload (60 % + 40 % fix). Leistungspreis jährlich nach VPI.</w:t>
        <w:br/>
        <w:br/>
        <w:t>3. Privilegierungsprüfung: Lieferant unterstützt Abnehmer bei Antrag auf individuelle Netzentgelte nach § 19 Abs. 2 StromNEV (Jahresbenutzungsstunden &gt; 7.000 h) und bei BAFA-Antrag nach §§ 64 ff. EEG 2023.</w:t>
        <w:br/>
        <w:br/>
        <w:t>4. Backup-Anschluss: Abnehmer hält eigenständigen MS-Anschluss (Netzgesellschaft Westfalen GmbH) als Notfallversorgung; dieser wird im Regelbetrieb nicht genutzt.</w:t>
      </w:r>
    </w:p>
    <w:p/>
    <w:p/>
    <w:p>
      <w:r>
        <w:rPr>
          <w:rFonts w:ascii="Calibri" w:hAnsi="Calibri"/>
          <w:b w:val="0"/>
          <w:i w:val="0"/>
          <w:sz w:val="20"/>
        </w:rPr>
        <w:t>Lüdinghausen, den ________________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Stadtwerke Klotzkette AG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Hafenbogen Logistik GmbH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________________________________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________________________________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Dr. Gerda Wohlfahrt, Vorstandsvorsitzende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Klaus-Dieter Reinbold, Geschäftsführer</w:t>
            </w:r>
          </w:p>
        </w:tc>
      </w:tr>
    </w:tbl>
    <w:p/>
    <w:p>
      <w:r>
        <w:rPr>
          <w:rFonts w:ascii="Calibri" w:hAnsi="Calibri"/>
          <w:i/>
          <w:color w:val="7A7974"/>
          <w:sz w:val="16"/>
        </w:rPr>
        <w:t>Entwurf zur Verhandlung – vertraulich. Kanzlei Bernauer &amp; Partnerinnen, Oktober 2026.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