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1B474D"/>
          <w:sz w:val="28"/>
        </w:rPr>
        <w:t>Stadt Lindenhafen</w:t>
      </w:r>
    </w:p>
    <w:p>
      <w:r>
        <w:rPr>
          <w:rFonts w:ascii="Calibri" w:hAnsi="Calibri"/>
          <w:b w:val="0"/>
          <w:i w:val="0"/>
          <w:sz w:val="22"/>
        </w:rPr>
        <w:t>Der Buergermeister – Wirtschaftsfoerderungsabteilung –</w:t>
      </w:r>
    </w:p>
    <w:p>
      <w:r>
        <w:rPr>
          <w:rFonts w:ascii="Calibri" w:hAnsi="Calibri"/>
          <w:b w:val="0"/>
          <w:i w:val="0"/>
          <w:sz w:val="22"/>
        </w:rPr>
        <w:t>Marktplatz 1, 29482 Lindenhafen</w:t>
      </w:r>
    </w:p>
    <w:p>
      <w:r>
        <w:rPr>
          <w:rFonts w:ascii="Calibri" w:hAnsi="Calibri"/>
          <w:b w:val="0"/>
          <w:i w:val="0"/>
          <w:sz w:val="22"/>
        </w:rPr>
        <w:t>Tel.: 05841/9200-0 | wirtschaftsfoerderung@lindenhafen.de</w:t>
      </w:r>
    </w:p>
    <w:p/>
    <w:p>
      <w:pPr>
        <w:jc w:val="right"/>
      </w:pPr>
      <w:r>
        <w:rPr>
          <w:rFonts w:ascii="Calibri" w:hAnsi="Calibri"/>
          <w:sz w:val="22"/>
        </w:rPr>
        <w:t>Lindenhafen, 5. September 2023</w:t>
      </w:r>
    </w:p>
    <w:p>
      <w:r>
        <w:rPr>
          <w:rFonts w:ascii="Calibri" w:hAnsi="Calibri"/>
          <w:b w:val="0"/>
          <w:i w:val="0"/>
          <w:sz w:val="22"/>
        </w:rPr>
        <w:t>KommunalWaerme Lindenhafen GmbH</w:t>
      </w:r>
    </w:p>
    <w:p>
      <w:r>
        <w:rPr>
          <w:rFonts w:ascii="Calibri" w:hAnsi="Calibri"/>
          <w:b w:val="0"/>
          <w:i w:val="0"/>
          <w:sz w:val="22"/>
        </w:rPr>
        <w:t>– Geschaeftsfuehrung –</w:t>
      </w:r>
    </w:p>
    <w:p>
      <w:r>
        <w:rPr>
          <w:rFonts w:ascii="Calibri" w:hAnsi="Calibri"/>
          <w:b w:val="0"/>
          <w:i w:val="0"/>
          <w:sz w:val="22"/>
        </w:rPr>
        <w:t>Industriestrasse 12, 29482 Lindenhafen</w:t>
      </w:r>
    </w:p>
    <w:p/>
    <w:p>
      <w:r>
        <w:rPr>
          <w:rFonts w:ascii="Calibri" w:hAnsi="Calibri"/>
          <w:b/>
          <w:sz w:val="22"/>
        </w:rPr>
        <w:t>Betreff: Foerderbescheid – Investitionszuschuss WaermeWende Lindenhafen 2026 – AZ: WF-2023-0047/EUR</w:t>
      </w:r>
    </w:p>
    <w:p/>
    <w:p>
      <w:r>
        <w:rPr>
          <w:rFonts w:ascii="Calibri" w:hAnsi="Calibri"/>
          <w:b/>
          <w:color w:val="1B474D"/>
          <w:sz w:val="24"/>
        </w:rPr>
        <w:t>I. Tenor (Entscheidung)</w:t>
      </w:r>
    </w:p>
    <w:p>
      <w:r>
        <w:rPr>
          <w:rFonts w:ascii="Calibri" w:hAnsi="Calibri"/>
          <w:b/>
          <w:sz w:val="22"/>
        </w:rPr>
        <w:t>1. Bewilligung</w:t>
      </w:r>
    </w:p>
    <w:p>
      <w:r>
        <w:rPr>
          <w:rFonts w:ascii="Calibri" w:hAnsi="Calibri"/>
          <w:b w:val="0"/>
          <w:i w:val="0"/>
          <w:sz w:val="22"/>
        </w:rPr>
        <w:t>Der Stadt Lindenhafen bewilligt der KommunalWaerme Lindenhafen GmbH auf Grundlage des Stadtratsbeschlusses Nr. 2023/SR/017 vom 14. Maerz 2023 einen nicht rueckzahlbaren Investitionszuschuss in Hoehe von:</w:t>
      </w:r>
    </w:p>
    <w:p>
      <w:pPr>
        <w:jc w:val="center"/>
      </w:pPr>
      <w:r>
        <w:rPr>
          <w:rFonts w:ascii="Calibri" w:hAnsi="Calibri"/>
          <w:b/>
          <w:sz w:val="24"/>
        </w:rPr>
        <w:t>14.000.000,00 Euro (vierzehn Millionen Euro)</w:t>
      </w:r>
    </w:p>
    <w:p>
      <w:r>
        <w:rPr>
          <w:rFonts w:ascii="Calibri" w:hAnsi="Calibri"/>
          <w:b w:val="0"/>
          <w:i w:val="0"/>
          <w:sz w:val="22"/>
        </w:rPr>
        <w:t>fuer das Vorhaben „WaermeWende Lindenhafen 2026“.</w:t>
      </w:r>
    </w:p>
    <w:p/>
    <w:p>
      <w:r>
        <w:rPr>
          <w:rFonts w:ascii="Calibri" w:hAnsi="Calibri"/>
          <w:b/>
          <w:sz w:val="22"/>
        </w:rPr>
        <w:t>2. Zweck – Teilmassnahmen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>
            <w:r>
              <w:rPr>
                <w:rFonts w:ascii="Calibri" w:hAnsi="Calibri"/>
                <w:b/>
                <w:sz w:val="22"/>
              </w:rPr>
              <w:t>Teilmassnahme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/>
                <w:sz w:val="22"/>
              </w:rPr>
              <w:t>Betrag (€)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Errichtung Waermepumpenanlage (12 MW thermisch)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6.400.000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Erneuerung Leitungstrassen (8,4 km)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4.800.000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Netzanschluss Neubaugebiet Am Sandkrug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1.500.000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Netzanschluss Westliches Industriegelaende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1.100.000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Projektmanagement und Planungsleistungen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sz w:val="22"/>
              </w:rPr>
              <w:t>200.000</w:t>
            </w:r>
          </w:p>
        </w:tc>
      </w:tr>
      <w:tr>
        <w:tc>
          <w:tcPr>
            <w:tcW w:type="dxa" w:w="4561"/>
          </w:tcPr>
          <w:p>
            <w:r>
              <w:rPr>
                <w:rFonts w:ascii="Calibri" w:hAnsi="Calibri"/>
                <w:b/>
                <w:sz w:val="22"/>
              </w:rPr>
              <w:t>Summe</w:t>
            </w:r>
          </w:p>
        </w:tc>
        <w:tc>
          <w:tcPr>
            <w:tcW w:type="dxa" w:w="4561"/>
          </w:tcPr>
          <w:p>
            <w:r>
              <w:rPr>
                <w:rFonts w:ascii="Calibri" w:hAnsi="Calibri"/>
                <w:b/>
                <w:sz w:val="22"/>
              </w:rPr>
              <w:t>14.000.000</w:t>
            </w:r>
          </w:p>
        </w:tc>
      </w:tr>
    </w:tbl>
    <w:p/>
    <w:p>
      <w:r>
        <w:rPr>
          <w:rFonts w:ascii="Calibri" w:hAnsi="Calibri"/>
          <w:b/>
          <w:sz w:val="22"/>
        </w:rPr>
        <w:t>3. Auszahlung in drei Tranchen</w:t>
      </w:r>
    </w:p>
    <w:p>
      <w:pPr>
        <w:pStyle w:val="ListBullet"/>
      </w:pPr>
      <w:r>
        <w:rPr>
          <w:rFonts w:ascii="Calibri" w:hAnsi="Calibri"/>
          <w:sz w:val="22"/>
        </w:rPr>
        <w:t>Tranche 1 (40 % = 5.600.000 €): nach Baubeginn und Vergabeabschluss, fruehestens 1. Januar 2024.</w:t>
      </w:r>
    </w:p>
    <w:p>
      <w:pPr>
        <w:pStyle w:val="ListBullet"/>
      </w:pPr>
      <w:r>
        <w:rPr>
          <w:rFonts w:ascii="Calibri" w:hAnsi="Calibri"/>
          <w:sz w:val="22"/>
        </w:rPr>
        <w:t>Tranche 2 (40 % = 5.600.000 €): nach Fertigstellung der Waermepumpenanlage, spaetestens 31. Dezember 2025.</w:t>
      </w:r>
    </w:p>
    <w:p>
      <w:pPr>
        <w:pStyle w:val="ListBullet"/>
      </w:pPr>
      <w:r>
        <w:rPr>
          <w:rFonts w:ascii="Calibri" w:hAnsi="Calibri"/>
          <w:sz w:val="22"/>
        </w:rPr>
        <w:t>Tranche 3 (20 % = 2.800.000 €): nach Vorlage des Verwendungsnachweises, spaetestens 30. Juni 2027.</w:t>
      </w:r>
    </w:p>
    <w:p/>
    <w:p>
      <w:r>
        <w:rPr>
          <w:rFonts w:ascii="Calibri" w:hAnsi="Calibri"/>
          <w:b/>
          <w:color w:val="1B474D"/>
          <w:sz w:val="24"/>
        </w:rPr>
        <w:t>II. Nebenbestimmungen</w:t>
      </w:r>
    </w:p>
    <w:p>
      <w:r>
        <w:rPr>
          <w:rFonts w:ascii="Calibri" w:hAnsi="Calibri"/>
          <w:b/>
          <w:sz w:val="22"/>
        </w:rPr>
        <w:t xml:space="preserve">§ 1 – Zweckbindung  </w:t>
      </w:r>
      <w:r>
        <w:rPr>
          <w:rFonts w:ascii="Calibri" w:hAnsi="Calibri"/>
          <w:sz w:val="22"/>
        </w:rPr>
        <w:t>Die Zuschussmittel sind ausschliesslich fuer die im Tenor genannten Teilmassnahmen zu verwenden. Jede Zweckaeenderung bedarf der vorherigen schriftlichen Zustimmung der bewilligenden Stelle.</w:t>
      </w:r>
    </w:p>
    <w:p>
      <w:r>
        <w:rPr>
          <w:rFonts w:ascii="Calibri" w:hAnsi="Calibri"/>
          <w:b/>
          <w:sz w:val="22"/>
        </w:rPr>
        <w:t xml:space="preserve">§ 2 – Vergabe  </w:t>
      </w:r>
      <w:r>
        <w:rPr>
          <w:rFonts w:ascii="Calibri" w:hAnsi="Calibri"/>
          <w:sz w:val="22"/>
        </w:rPr>
        <w:t>Die Zuwendungsempfaengerin hat bei der Vergabe die Vorschriften des Vergaberechts (GWB, VgV, VOB/A, UVgO) zu beachten. Die Sollvorschrift zur Beruecksichtigung regionaler Unternehmen bei Tiefbauleistungen begruendet keinen Rechtsanspruch.</w:t>
      </w:r>
    </w:p>
    <w:p>
      <w:r>
        <w:rPr>
          <w:rFonts w:ascii="Calibri" w:hAnsi="Calibri"/>
          <w:b/>
          <w:sz w:val="22"/>
        </w:rPr>
        <w:t xml:space="preserve">§ 3 – Berichtspflicht  </w:t>
      </w:r>
      <w:r>
        <w:rPr>
          <w:rFonts w:ascii="Calibri" w:hAnsi="Calibri"/>
          <w:sz w:val="22"/>
        </w:rPr>
        <w:t>Jaehrlich zum 31. Maerz (erstmals 31. Maerz 2025) ist ein Zwischenbericht mit CO₂-Einsparungen, Baufortschritt und Mittelverwendung vorzulegen.</w:t>
      </w:r>
    </w:p>
    <w:p>
      <w:r>
        <w:rPr>
          <w:rFonts w:ascii="Calibri" w:hAnsi="Calibri"/>
          <w:b/>
          <w:sz w:val="22"/>
        </w:rPr>
        <w:t xml:space="preserve">§ 4 – Aufbewahrung  </w:t>
      </w:r>
      <w:r>
        <w:rPr>
          <w:rFonts w:ascii="Calibri" w:hAnsi="Calibri"/>
          <w:sz w:val="22"/>
        </w:rPr>
        <w:t>Belege und Vergabeunterlagen sind mindestens zehn Jahre nach Bewilligung der letzten Tranche aufzubewahren.</w:t>
      </w:r>
    </w:p>
    <w:p>
      <w:r>
        <w:rPr>
          <w:rFonts w:ascii="Calibri" w:hAnsi="Calibri"/>
          <w:b/>
          <w:sz w:val="22"/>
        </w:rPr>
        <w:t xml:space="preserve">§ 5 – Weiterleitungsverbot  </w:t>
      </w:r>
      <w:r>
        <w:rPr>
          <w:rFonts w:ascii="Calibri" w:hAnsi="Calibri"/>
          <w:sz w:val="22"/>
        </w:rPr>
        <w:t>Weiterleitung von Zuschussmitteln an Dritte ist ohne Zustimmung der bewilligenden Stelle unzulaessig.</w:t>
      </w:r>
    </w:p>
    <w:p>
      <w:r>
        <w:rPr>
          <w:rFonts w:ascii="Calibri" w:hAnsi="Calibri"/>
          <w:b/>
          <w:sz w:val="22"/>
        </w:rPr>
        <w:t xml:space="preserve">§ 6 – Rueckforderungsvorbehalt  </w:t>
      </w:r>
      <w:r>
        <w:rPr>
          <w:rFonts w:ascii="Calibri" w:hAnsi="Calibri"/>
          <w:sz w:val="22"/>
        </w:rPr>
        <w:t>Rueckforderung bei: zweckwidriger Verwendung; Nicht-Vorlage von Nachweisen nach Nachfristsetzung; Veraeusserung, Stilllegung oder Zweckentfremdung der Anlagen innerhalb von zehn Jahren. Zinssatz: 5 über Basiszinssatz (§ 247 BGB) ab Auszahlungstag.</w:t>
      </w:r>
    </w:p>
    <w:p/>
    <w:p>
      <w:r>
        <w:rPr>
          <w:rFonts w:ascii="Calibri" w:hAnsi="Calibri"/>
          <w:b/>
          <w:color w:val="1B474D"/>
          <w:sz w:val="24"/>
        </w:rPr>
        <w:t>III. Begruendung</w:t>
      </w:r>
    </w:p>
    <w:p>
      <w:r>
        <w:rPr>
          <w:rFonts w:ascii="Calibri" w:hAnsi="Calibri"/>
          <w:b w:val="0"/>
          <w:i w:val="0"/>
          <w:sz w:val="22"/>
        </w:rPr>
        <w:t>Die KommunalWaerme Lindenhafen GmbH betreibt das kommunale Fernwaermenetz der Stadt. Das Vorhaben dient dem Klimaschutz und der Versorgungssicherheit. Rechtsgrundlagen: §§ 110, 111 NKomVG; kommunale Wirtschaftsfoerderungsrichtlinie 2021; Niedersaechsische Klimaschutzrichtlinie vom 12. Mai 2021 (Nds. MBl. 2021, S. 724); Stadtratsbeschluss Nr. 2023/SR/017.</w:t>
      </w:r>
    </w:p>
    <w:p>
      <w:r>
        <w:rPr>
          <w:rFonts w:ascii="Calibri" w:hAnsi="Calibri"/>
          <w:b w:val="0"/>
          <w:i w:val="0"/>
          <w:sz w:val="22"/>
        </w:rPr>
        <w:t>Die Wirtschaftsfoerderungsabteilung geht davon aus, dass die Foerdermassnahme als kommunale Daseinsvorsorge-Infrastruktur (Art. 106 Abs. 2 AEUV) keiner Notifizierungspflicht nach Art. 108 Abs. 3 AEUV unterliegt. Eine Gruppenfreistellung nach Art. 36 AGVO wird geprueft. Alternative Finanzierungsinstrumente wurden erwaegen, aber als nicht hinreichend eingestuft.</w:t>
      </w:r>
    </w:p>
    <w:p/>
    <w:p>
      <w:r>
        <w:rPr>
          <w:rFonts w:ascii="Calibri" w:hAnsi="Calibri"/>
          <w:b/>
          <w:color w:val="1B474D"/>
          <w:sz w:val="24"/>
        </w:rPr>
        <w:t>IV. Rechtsbehelfsbelehrung</w:t>
      </w:r>
    </w:p>
    <w:p>
      <w:r>
        <w:rPr>
          <w:rFonts w:ascii="Calibri" w:hAnsi="Calibri"/>
          <w:b w:val="0"/>
          <w:i w:val="0"/>
          <w:sz w:val="22"/>
        </w:rPr>
        <w:t>Gegen diesen Bescheid kann innerhalb eines Monats nach Bekanntgabe Widerspruch eingelegt werden. Widerspruch schriftlich oder zur Niederschrift bei: Stadt Lindenhafen, Marktplatz 1, 29482 Lindenhafen. Nach Zurueckweisung des Widerspruchs kann Klage beim Verwaltungsgericht Lueneburg, Auf der Hude 2, 21339 Lueneburg erhoben werden. Dritte koennen bei Betroffenheit ebenfalls Klage erheben.</w:t>
      </w:r>
    </w:p>
    <w:p/>
    <w:p>
      <w:r>
        <w:rPr>
          <w:rFonts w:ascii="Calibri" w:hAnsi="Calibri"/>
          <w:b/>
          <w:color w:val="1B474D"/>
          <w:sz w:val="24"/>
        </w:rPr>
        <w:t>V. Anlagen</w:t>
      </w:r>
    </w:p>
    <w:p>
      <w:pPr>
        <w:pStyle w:val="ListBullet"/>
      </w:pPr>
      <w:r>
        <w:rPr>
          <w:rFonts w:ascii="Calibri" w:hAnsi="Calibri"/>
          <w:sz w:val="22"/>
        </w:rPr>
        <w:t>Anlage 1 – Stadtratsbeschluss Nr. 2023/SR/017 vom 14.03.2023</w:t>
      </w:r>
    </w:p>
    <w:p>
      <w:pPr>
        <w:pStyle w:val="ListBullet"/>
      </w:pPr>
      <w:r>
        <w:rPr>
          <w:rFonts w:ascii="Calibri" w:hAnsi="Calibri"/>
          <w:sz w:val="22"/>
        </w:rPr>
        <w:t>Anlage 2 – Projektbeschreibung WaermeWende Lindenhafen 2026 (KWL, August 2023)</w:t>
      </w:r>
    </w:p>
    <w:p>
      <w:pPr>
        <w:pStyle w:val="ListBullet"/>
      </w:pPr>
      <w:r>
        <w:rPr>
          <w:rFonts w:ascii="Calibri" w:hAnsi="Calibri"/>
          <w:sz w:val="22"/>
        </w:rPr>
        <w:t>Anlage 3 – Wirtschaftlichkeitsberechnung der Kaemmerei</w:t>
      </w:r>
    </w:p>
    <w:p>
      <w:pPr>
        <w:pStyle w:val="ListBullet"/>
      </w:pPr>
      <w:r>
        <w:rPr>
          <w:rFonts w:ascii="Calibri" w:hAnsi="Calibri"/>
          <w:sz w:val="22"/>
        </w:rPr>
        <w:t>Anlage 4 – Niedersaechsische Klimaschutzrichtlinie vom 12.05.2021</w:t>
      </w:r>
    </w:p>
    <w:p>
      <w:pPr>
        <w:pStyle w:val="ListBullet"/>
      </w:pPr>
      <w:r>
        <w:rPr>
          <w:rFonts w:ascii="Calibri" w:hAnsi="Calibri"/>
          <w:sz w:val="22"/>
        </w:rPr>
        <w:t>Anlage 5 – Vorabpruefvermerk der Rechtsabteilung (AGVO, De-minimis)</w:t>
      </w:r>
    </w:p>
    <w:p/>
    <w:p>
      <w:r>
        <w:rPr>
          <w:rFonts w:ascii="Calibri" w:hAnsi="Calibri"/>
          <w:b w:val="0"/>
          <w:i w:val="0"/>
          <w:sz w:val="22"/>
        </w:rPr>
        <w:t>Thomas Brennecke</w:t>
      </w:r>
    </w:p>
    <w:p>
      <w:r>
        <w:rPr>
          <w:rFonts w:ascii="Calibri" w:hAnsi="Calibri"/>
          <w:b w:val="0"/>
          <w:i w:val="0"/>
          <w:sz w:val="22"/>
        </w:rPr>
        <w:t>Buergermeister der Stadt Lindenhafen</w:t>
      </w:r>
    </w:p>
    <w:p/>
    <w:p>
      <w:r>
        <w:rPr>
          <w:rFonts w:ascii="Calibri" w:hAnsi="Calibri"/>
          <w:b w:val="0"/>
          <w:i/>
          <w:sz w:val="22"/>
        </w:rPr>
        <w:t>Bearbeitung: Dr. Anja Rennekamp, Wirtschaftsfoerderung, Tel.: 05841/9200-42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sz w:val="18"/>
      </w:rPr>
      <w:t>AZ: WF-2023-0047/EUR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