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1B474D"/>
          <w:sz w:val="36"/>
        </w:rPr>
        <w:t>Risikoanalyse 2026</w:t>
      </w:r>
    </w:p>
    <w:p>
      <w:pPr>
        <w:jc w:val="center"/>
      </w:pPr>
      <w:r>
        <w:rPr>
          <w:color w:val="7A7974"/>
          <w:sz w:val="24"/>
        </w:rPr>
        <w:t>Musterholding GmbH · Frankfurt am Main</w:t>
        <w:br/>
        <w:t>Gemäß § 5 GwG</w:t>
      </w:r>
    </w:p>
    <w:p/>
    <w:tbl>
      <w:tblPr>
        <w:tblStyle w:val="TableGrid"/>
        <w:tblW w:type="auto" w:w="0"/>
        <w:tblLook w:firstColumn="1" w:firstRow="1" w:lastColumn="0" w:lastRow="0" w:noHBand="0" w:noVBand="1" w:val="04A0"/>
      </w:tblPr>
      <w:tblGrid>
        <w:gridCol w:w="4320"/>
        <w:gridCol w:w="4320"/>
      </w:tblGrid>
      <w:tr>
        <w:tc>
          <w:tcPr>
            <w:tcW w:type="dxa" w:w="3118"/>
          </w:tcPr>
          <w:p>
            <w:pPr>
              <w:jc w:val="left"/>
            </w:pPr>
            <w:r>
              <w:rPr>
                <w:b/>
                <w:sz w:val="20"/>
              </w:rPr>
              <w:t>Metadatum</w:t>
            </w:r>
          </w:p>
        </w:tc>
        <w:tc>
          <w:tcPr>
            <w:tcW w:type="dxa" w:w="5953"/>
          </w:tcPr>
          <w:p>
            <w:pPr>
              <w:jc w:val="left"/>
            </w:pPr>
            <w:r>
              <w:rPr>
                <w:b/>
                <w:sz w:val="20"/>
              </w:rPr>
              <w:t>Inhalt</w:t>
            </w:r>
          </w:p>
        </w:tc>
      </w:tr>
      <w:tr>
        <w:tc>
          <w:tcPr>
            <w:tcW w:type="dxa" w:w="3118"/>
          </w:tcPr>
          <w:p>
            <w:r>
              <w:rPr>
                <w:sz w:val="20"/>
              </w:rPr>
              <w:t>Dokument-Nr.</w:t>
            </w:r>
          </w:p>
        </w:tc>
        <w:tc>
          <w:tcPr>
            <w:tcW w:type="dxa" w:w="5953"/>
          </w:tcPr>
          <w:p>
            <w:r>
              <w:rPr>
                <w:sz w:val="20"/>
              </w:rPr>
              <w:t>RA-MH-2026-02</w:t>
            </w:r>
          </w:p>
        </w:tc>
      </w:tr>
      <w:tr>
        <w:tc>
          <w:tcPr>
            <w:tcW w:type="dxa" w:w="3118"/>
          </w:tcPr>
          <w:p>
            <w:r>
              <w:rPr>
                <w:sz w:val="20"/>
              </w:rPr>
              <w:t>Version</w:t>
            </w:r>
          </w:p>
        </w:tc>
        <w:tc>
          <w:tcPr>
            <w:tcW w:type="dxa" w:w="5953"/>
          </w:tcPr>
          <w:p>
            <w:r>
              <w:rPr>
                <w:sz w:val="20"/>
              </w:rPr>
              <w:t>2.0 (ersetzt Version 1.0 vom 15.03.2024)</w:t>
            </w:r>
          </w:p>
        </w:tc>
      </w:tr>
      <w:tr>
        <w:tc>
          <w:tcPr>
            <w:tcW w:type="dxa" w:w="3118"/>
          </w:tcPr>
          <w:p>
            <w:r>
              <w:rPr>
                <w:sz w:val="20"/>
              </w:rPr>
              <w:t>Erstellt von</w:t>
            </w:r>
          </w:p>
        </w:tc>
        <w:tc>
          <w:tcPr>
            <w:tcW w:type="dxa" w:w="5953"/>
          </w:tcPr>
          <w:p>
            <w:r>
              <w:rPr>
                <w:sz w:val="20"/>
              </w:rPr>
              <w:t>Thomas Eckhardt (GwB); RA Dr. Franziska Heller</w:t>
            </w:r>
          </w:p>
        </w:tc>
      </w:tr>
      <w:tr>
        <w:tc>
          <w:tcPr>
            <w:tcW w:type="dxa" w:w="3118"/>
          </w:tcPr>
          <w:p>
            <w:r>
              <w:rPr>
                <w:sz w:val="20"/>
              </w:rPr>
              <w:t>Genehmigt durch</w:t>
            </w:r>
          </w:p>
        </w:tc>
        <w:tc>
          <w:tcPr>
            <w:tcW w:type="dxa" w:w="5953"/>
          </w:tcPr>
          <w:p>
            <w:r>
              <w:rPr>
                <w:sz w:val="20"/>
              </w:rPr>
              <w:t>Klaus-Dieter Brenner, Sabine Wollner</w:t>
            </w:r>
          </w:p>
        </w:tc>
      </w:tr>
      <w:tr>
        <w:tc>
          <w:tcPr>
            <w:tcW w:type="dxa" w:w="3118"/>
          </w:tcPr>
          <w:p>
            <w:r>
              <w:rPr>
                <w:sz w:val="20"/>
              </w:rPr>
              <w:t>Datum Genehmigung</w:t>
            </w:r>
          </w:p>
        </w:tc>
        <w:tc>
          <w:tcPr>
            <w:tcW w:type="dxa" w:w="5953"/>
          </w:tcPr>
          <w:p>
            <w:r>
              <w:rPr>
                <w:sz w:val="20"/>
              </w:rPr>
              <w:t>15.05.2026</w:t>
            </w:r>
          </w:p>
        </w:tc>
      </w:tr>
      <w:tr>
        <w:tc>
          <w:tcPr>
            <w:tcW w:type="dxa" w:w="3118"/>
          </w:tcPr>
          <w:p>
            <w:r>
              <w:rPr>
                <w:sz w:val="20"/>
              </w:rPr>
              <w:t>Nächste Überprüfung</w:t>
            </w:r>
          </w:p>
        </w:tc>
        <w:tc>
          <w:tcPr>
            <w:tcW w:type="dxa" w:w="5953"/>
          </w:tcPr>
          <w:p>
            <w:r>
              <w:rPr>
                <w:sz w:val="20"/>
              </w:rPr>
              <w:t>15.05.2027 (oder anlassbezogen)</w:t>
            </w:r>
          </w:p>
        </w:tc>
      </w:tr>
      <w:tr>
        <w:tc>
          <w:tcPr>
            <w:tcW w:type="dxa" w:w="3118"/>
          </w:tcPr>
          <w:p>
            <w:r>
              <w:rPr>
                <w:sz w:val="20"/>
              </w:rPr>
              <w:t>Rechtsgrundlage</w:t>
            </w:r>
          </w:p>
        </w:tc>
        <w:tc>
          <w:tcPr>
            <w:tcW w:type="dxa" w:w="5953"/>
          </w:tcPr>
          <w:p>
            <w:r>
              <w:rPr>
                <w:sz w:val="20"/>
              </w:rPr>
              <w:t>§ 5 GwG, § 6 GwG, FATF-Empfehlungen 2023</w:t>
            </w:r>
          </w:p>
        </w:tc>
      </w:tr>
    </w:tbl>
    <w:p/>
    <w:p>
      <w:r>
        <w:rPr>
          <w:b/>
          <w:color w:val="1B474D"/>
          <w:sz w:val="28"/>
        </w:rPr>
        <w:t>1. Zweck und Anwendungsbereich</w:t>
      </w:r>
    </w:p>
    <w:p>
      <w:r>
        <w:t>Diese Risikoanalyse beschreibt die spezifischen Risiken der Geldwäsche (ML) und der Terrorismusfinanzierung (TF), denen die Musterholding GmbH und ihre Tochtergesellschaft Musterholding Immobilien GmbH ausgesetzt sind. Sie bildet die Grundlage für alle internen Sicherungsmaßnahmen nach § 6 GwG und ist bindend für alle Geschäftsbereiche.</w:t>
      </w:r>
    </w:p>
    <w:p>
      <w:r>
        <w:rPr>
          <w:b/>
          <w:color w:val="1B474D"/>
          <w:sz w:val="28"/>
        </w:rPr>
        <w:t>2. Geschäftsbereiche und Risikoexposition</w:t>
      </w:r>
    </w:p>
    <w:tbl>
      <w:tblPr>
        <w:tblStyle w:val="TableGrid"/>
        <w:tblW w:type="auto" w:w="0"/>
        <w:tblLook w:firstColumn="1" w:firstRow="1" w:lastColumn="0" w:lastRow="0" w:noHBand="0" w:noVBand="1" w:val="04A0"/>
      </w:tblPr>
      <w:tblGrid>
        <w:gridCol w:w="2160"/>
        <w:gridCol w:w="2160"/>
        <w:gridCol w:w="2160"/>
        <w:gridCol w:w="2160"/>
      </w:tblGrid>
      <w:tr>
        <w:tc>
          <w:tcPr>
            <w:tcW w:type="dxa" w:w="2551"/>
          </w:tcPr>
          <w:p>
            <w:pPr>
              <w:jc w:val="left"/>
            </w:pPr>
            <w:r>
              <w:rPr>
                <w:b/>
                <w:sz w:val="20"/>
              </w:rPr>
              <w:t>Geschäftsbereich</w:t>
            </w:r>
          </w:p>
        </w:tc>
        <w:tc>
          <w:tcPr>
            <w:tcW w:type="dxa" w:w="1984"/>
          </w:tcPr>
          <w:p>
            <w:pPr>
              <w:jc w:val="left"/>
            </w:pPr>
            <w:r>
              <w:rPr>
                <w:b/>
                <w:sz w:val="20"/>
              </w:rPr>
              <w:t>GwG-Tatbestand</w:t>
            </w:r>
          </w:p>
        </w:tc>
        <w:tc>
          <w:tcPr>
            <w:tcW w:type="dxa" w:w="1701"/>
          </w:tcPr>
          <w:p>
            <w:pPr>
              <w:jc w:val="left"/>
            </w:pPr>
            <w:r>
              <w:rPr>
                <w:b/>
                <w:sz w:val="20"/>
              </w:rPr>
              <w:t>Risikoniveau</w:t>
            </w:r>
          </w:p>
        </w:tc>
        <w:tc>
          <w:tcPr>
            <w:tcW w:type="dxa" w:w="2835"/>
          </w:tcPr>
          <w:p>
            <w:pPr>
              <w:jc w:val="left"/>
            </w:pPr>
            <w:r>
              <w:rPr>
                <w:b/>
                <w:sz w:val="20"/>
              </w:rPr>
              <w:t>Anmerkung</w:t>
            </w:r>
          </w:p>
        </w:tc>
      </w:tr>
      <w:tr>
        <w:tc>
          <w:tcPr>
            <w:tcW w:type="dxa" w:w="2551"/>
          </w:tcPr>
          <w:p>
            <w:r>
              <w:rPr>
                <w:sz w:val="20"/>
              </w:rPr>
              <w:t>Industriekomponenten bargeldlos</w:t>
            </w:r>
          </w:p>
        </w:tc>
        <w:tc>
          <w:tcPr>
            <w:tcW w:type="dxa" w:w="1984"/>
          </w:tcPr>
          <w:p>
            <w:r>
              <w:rPr>
                <w:sz w:val="20"/>
              </w:rPr>
              <w:t>§ 2 Nr. 16 GwG</w:t>
            </w:r>
          </w:p>
        </w:tc>
        <w:tc>
          <w:tcPr>
            <w:tcW w:type="dxa" w:w="1701"/>
          </w:tcPr>
          <w:p>
            <w:r>
              <w:rPr>
                <w:sz w:val="20"/>
              </w:rPr>
              <w:t>Mittel</w:t>
            </w:r>
          </w:p>
        </w:tc>
        <w:tc>
          <w:tcPr>
            <w:tcW w:type="dxa" w:w="2835"/>
          </w:tcPr>
          <w:p>
            <w:r>
              <w:rPr>
                <w:sz w:val="20"/>
              </w:rPr>
              <w:t>International</w:t>
            </w:r>
          </w:p>
        </w:tc>
      </w:tr>
      <w:tr>
        <w:tc>
          <w:tcPr>
            <w:tcW w:type="dxa" w:w="2551"/>
          </w:tcPr>
          <w:p>
            <w:r>
              <w:rPr>
                <w:sz w:val="20"/>
              </w:rPr>
              <w:t>Edelmetall-/Ersatzteilhandel bar</w:t>
            </w:r>
          </w:p>
        </w:tc>
        <w:tc>
          <w:tcPr>
            <w:tcW w:type="dxa" w:w="1984"/>
          </w:tcPr>
          <w:p>
            <w:r>
              <w:rPr>
                <w:sz w:val="20"/>
              </w:rPr>
              <w:t>§ 2 Nr. 16 GwG</w:t>
            </w:r>
          </w:p>
        </w:tc>
        <w:tc>
          <w:tcPr>
            <w:tcW w:type="dxa" w:w="1701"/>
          </w:tcPr>
          <w:p>
            <w:r>
              <w:rPr>
                <w:sz w:val="20"/>
              </w:rPr>
              <w:t>Hoch</w:t>
            </w:r>
          </w:p>
        </w:tc>
        <w:tc>
          <w:tcPr>
            <w:tcW w:type="dxa" w:w="2835"/>
          </w:tcPr>
          <w:p>
            <w:r>
              <w:rPr>
                <w:sz w:val="20"/>
              </w:rPr>
              <w:t>&gt;10.000 EUR Bar</w:t>
            </w:r>
          </w:p>
        </w:tc>
      </w:tr>
      <w:tr>
        <w:tc>
          <w:tcPr>
            <w:tcW w:type="dxa" w:w="2551"/>
          </w:tcPr>
          <w:p>
            <w:r>
              <w:rPr>
                <w:sz w:val="20"/>
              </w:rPr>
              <w:t>Handelsagenturen Drittländer</w:t>
            </w:r>
          </w:p>
        </w:tc>
        <w:tc>
          <w:tcPr>
            <w:tcW w:type="dxa" w:w="1984"/>
          </w:tcPr>
          <w:p>
            <w:r>
              <w:rPr>
                <w:sz w:val="20"/>
              </w:rPr>
              <w:t>§ 2 Nr. 16 GwG</w:t>
            </w:r>
          </w:p>
        </w:tc>
        <w:tc>
          <w:tcPr>
            <w:tcW w:type="dxa" w:w="1701"/>
          </w:tcPr>
          <w:p>
            <w:r>
              <w:rPr>
                <w:sz w:val="20"/>
              </w:rPr>
              <w:t>Hoch</w:t>
            </w:r>
          </w:p>
        </w:tc>
        <w:tc>
          <w:tcPr>
            <w:tcW w:type="dxa" w:w="2835"/>
          </w:tcPr>
          <w:p>
            <w:r>
              <w:rPr>
                <w:sz w:val="20"/>
              </w:rPr>
              <w:t>Provisionstrukturen</w:t>
            </w:r>
          </w:p>
        </w:tc>
      </w:tr>
      <w:tr>
        <w:tc>
          <w:tcPr>
            <w:tcW w:type="dxa" w:w="2551"/>
          </w:tcPr>
          <w:p>
            <w:r>
              <w:rPr>
                <w:sz w:val="20"/>
              </w:rPr>
              <w:t>Gewerbeimmobilien-Verwaltung</w:t>
            </w:r>
          </w:p>
        </w:tc>
        <w:tc>
          <w:tcPr>
            <w:tcW w:type="dxa" w:w="1984"/>
          </w:tcPr>
          <w:p>
            <w:r>
              <w:rPr>
                <w:sz w:val="20"/>
              </w:rPr>
              <w:t>§ 2 Nr. 14 GwG</w:t>
            </w:r>
          </w:p>
        </w:tc>
        <w:tc>
          <w:tcPr>
            <w:tcW w:type="dxa" w:w="1701"/>
          </w:tcPr>
          <w:p>
            <w:r>
              <w:rPr>
                <w:sz w:val="20"/>
              </w:rPr>
              <w:t>Mittel</w:t>
            </w:r>
          </w:p>
        </w:tc>
        <w:tc>
          <w:tcPr>
            <w:tcW w:type="dxa" w:w="2835"/>
          </w:tcPr>
          <w:p>
            <w:r>
              <w:rPr>
                <w:sz w:val="20"/>
              </w:rPr>
              <w:t>Tochtergesellschaft</w:t>
            </w:r>
          </w:p>
        </w:tc>
      </w:tr>
      <w:tr>
        <w:tc>
          <w:tcPr>
            <w:tcW w:type="dxa" w:w="2551"/>
          </w:tcPr>
          <w:p>
            <w:r>
              <w:rPr>
                <w:sz w:val="20"/>
              </w:rPr>
              <w:t>Immobilientransaktionen</w:t>
            </w:r>
          </w:p>
        </w:tc>
        <w:tc>
          <w:tcPr>
            <w:tcW w:type="dxa" w:w="1984"/>
          </w:tcPr>
          <w:p>
            <w:r>
              <w:rPr>
                <w:sz w:val="20"/>
              </w:rPr>
              <w:t>§ 2 Nr. 14 GwG</w:t>
            </w:r>
          </w:p>
        </w:tc>
        <w:tc>
          <w:tcPr>
            <w:tcW w:type="dxa" w:w="1701"/>
          </w:tcPr>
          <w:p>
            <w:r>
              <w:rPr>
                <w:sz w:val="20"/>
              </w:rPr>
              <w:t>Hoch</w:t>
            </w:r>
          </w:p>
        </w:tc>
        <w:tc>
          <w:tcPr>
            <w:tcW w:type="dxa" w:w="2835"/>
          </w:tcPr>
          <w:p>
            <w:r>
              <w:rPr>
                <w:sz w:val="20"/>
              </w:rPr>
              <w:t>Einzeltransaktionen</w:t>
            </w:r>
          </w:p>
        </w:tc>
      </w:tr>
    </w:tbl>
    <w:p/>
    <w:p>
      <w:r>
        <w:rPr>
          <w:b/>
          <w:color w:val="1B474D"/>
          <w:sz w:val="28"/>
        </w:rPr>
        <w:t>3. Risikomatrix (Eintrittswahrscheinlichkeit × Schadensausmaß)</w:t>
      </w:r>
    </w:p>
    <w:p>
      <w:r>
        <w:t>Bewertungsskala: EW und SA jeweils 1–5. Restrisiko = EW × SA. ≥15 = Hoch; 8–14 = Mittel; ≤7 = Niedrig.</w:t>
      </w:r>
    </w:p>
    <w:tbl>
      <w:tblPr>
        <w:tblStyle w:val="TableGrid"/>
        <w:tblW w:type="auto" w:w="0"/>
        <w:tblLook w:firstColumn="1" w:firstRow="1" w:lastColumn="0" w:lastRow="0" w:noHBand="0" w:noVBand="1" w:val="04A0"/>
      </w:tblPr>
      <w:tblGrid>
        <w:gridCol w:w="1440"/>
        <w:gridCol w:w="1440"/>
        <w:gridCol w:w="1440"/>
        <w:gridCol w:w="1440"/>
        <w:gridCol w:w="1440"/>
        <w:gridCol w:w="1440"/>
      </w:tblGrid>
      <w:tr>
        <w:tc>
          <w:tcPr>
            <w:tcW w:type="dxa" w:w="680"/>
          </w:tcPr>
          <w:p>
            <w:pPr>
              <w:jc w:val="left"/>
            </w:pPr>
            <w:r>
              <w:rPr>
                <w:b/>
                <w:sz w:val="20"/>
              </w:rPr>
              <w:t>Nr.</w:t>
            </w:r>
          </w:p>
        </w:tc>
        <w:tc>
          <w:tcPr>
            <w:tcW w:type="dxa" w:w="3288"/>
          </w:tcPr>
          <w:p>
            <w:pPr>
              <w:jc w:val="left"/>
            </w:pPr>
            <w:r>
              <w:rPr>
                <w:b/>
                <w:sz w:val="20"/>
              </w:rPr>
              <w:t>Risikofeld</w:t>
            </w:r>
          </w:p>
        </w:tc>
        <w:tc>
          <w:tcPr>
            <w:tcW w:type="dxa" w:w="567"/>
          </w:tcPr>
          <w:p>
            <w:pPr>
              <w:jc w:val="left"/>
            </w:pPr>
            <w:r>
              <w:rPr>
                <w:b/>
                <w:sz w:val="20"/>
              </w:rPr>
              <w:t>EW</w:t>
            </w:r>
          </w:p>
        </w:tc>
        <w:tc>
          <w:tcPr>
            <w:tcW w:type="dxa" w:w="567"/>
          </w:tcPr>
          <w:p>
            <w:pPr>
              <w:jc w:val="left"/>
            </w:pPr>
            <w:r>
              <w:rPr>
                <w:b/>
                <w:sz w:val="20"/>
              </w:rPr>
              <w:t>SA</w:t>
            </w:r>
          </w:p>
        </w:tc>
        <w:tc>
          <w:tcPr>
            <w:tcW w:type="dxa" w:w="1134"/>
          </w:tcPr>
          <w:p>
            <w:pPr>
              <w:jc w:val="left"/>
            </w:pPr>
            <w:r>
              <w:rPr>
                <w:b/>
                <w:sz w:val="20"/>
              </w:rPr>
              <w:t>Restrisiko</w:t>
            </w:r>
          </w:p>
        </w:tc>
        <w:tc>
          <w:tcPr>
            <w:tcW w:type="dxa" w:w="1134"/>
          </w:tcPr>
          <w:p>
            <w:pPr>
              <w:jc w:val="left"/>
            </w:pPr>
            <w:r>
              <w:rPr>
                <w:b/>
                <w:sz w:val="20"/>
              </w:rPr>
              <w:t>Bewertung</w:t>
            </w:r>
          </w:p>
        </w:tc>
      </w:tr>
      <w:tr>
        <w:tc>
          <w:tcPr>
            <w:tcW w:type="dxa" w:w="680"/>
          </w:tcPr>
          <w:p>
            <w:r>
              <w:rPr>
                <w:sz w:val="20"/>
              </w:rPr>
              <w:t>R-01</w:t>
            </w:r>
          </w:p>
        </w:tc>
        <w:tc>
          <w:tcPr>
            <w:tcW w:type="dxa" w:w="3288"/>
          </w:tcPr>
          <w:p>
            <w:r>
              <w:rPr>
                <w:sz w:val="20"/>
              </w:rPr>
              <w:t>Bargeldannahme Ersatzteile</w:t>
            </w:r>
          </w:p>
        </w:tc>
        <w:tc>
          <w:tcPr>
            <w:tcW w:type="dxa" w:w="567"/>
          </w:tcPr>
          <w:p>
            <w:r>
              <w:rPr>
                <w:sz w:val="20"/>
              </w:rPr>
              <w:t>3</w:t>
            </w:r>
          </w:p>
        </w:tc>
        <w:tc>
          <w:tcPr>
            <w:tcW w:type="dxa" w:w="567"/>
          </w:tcPr>
          <w:p>
            <w:r>
              <w:rPr>
                <w:sz w:val="20"/>
              </w:rPr>
              <w:t>4</w:t>
            </w:r>
          </w:p>
        </w:tc>
        <w:tc>
          <w:tcPr>
            <w:tcW w:type="dxa" w:w="1134"/>
          </w:tcPr>
          <w:p>
            <w:r>
              <w:rPr>
                <w:sz w:val="20"/>
              </w:rPr>
              <w:t>12</w:t>
            </w:r>
          </w:p>
        </w:tc>
        <w:tc>
          <w:tcPr>
            <w:tcW w:type="dxa" w:w="1134"/>
          </w:tcPr>
          <w:p>
            <w:r>
              <w:rPr>
                <w:sz w:val="20"/>
              </w:rPr>
              <w:t>Mittel</w:t>
            </w:r>
          </w:p>
        </w:tc>
      </w:tr>
      <w:tr>
        <w:tc>
          <w:tcPr>
            <w:tcW w:type="dxa" w:w="680"/>
          </w:tcPr>
          <w:p>
            <w:r>
              <w:rPr>
                <w:sz w:val="20"/>
              </w:rPr>
              <w:t>R-02</w:t>
            </w:r>
          </w:p>
        </w:tc>
        <w:tc>
          <w:tcPr>
            <w:tcW w:type="dxa" w:w="3288"/>
          </w:tcPr>
          <w:p>
            <w:r>
              <w:rPr>
                <w:sz w:val="20"/>
              </w:rPr>
              <w:t>Edelmetallhandel, Bargeld</w:t>
            </w:r>
          </w:p>
        </w:tc>
        <w:tc>
          <w:tcPr>
            <w:tcW w:type="dxa" w:w="567"/>
          </w:tcPr>
          <w:p>
            <w:r>
              <w:rPr>
                <w:sz w:val="20"/>
              </w:rPr>
              <w:t>2</w:t>
            </w:r>
          </w:p>
        </w:tc>
        <w:tc>
          <w:tcPr>
            <w:tcW w:type="dxa" w:w="567"/>
          </w:tcPr>
          <w:p>
            <w:r>
              <w:rPr>
                <w:sz w:val="20"/>
              </w:rPr>
              <w:t>5</w:t>
            </w:r>
          </w:p>
        </w:tc>
        <w:tc>
          <w:tcPr>
            <w:tcW w:type="dxa" w:w="1134"/>
          </w:tcPr>
          <w:p>
            <w:r>
              <w:rPr>
                <w:sz w:val="20"/>
              </w:rPr>
              <w:t>10</w:t>
            </w:r>
          </w:p>
        </w:tc>
        <w:tc>
          <w:tcPr>
            <w:tcW w:type="dxa" w:w="1134"/>
          </w:tcPr>
          <w:p>
            <w:r>
              <w:rPr>
                <w:sz w:val="20"/>
              </w:rPr>
              <w:t>Mittel</w:t>
            </w:r>
          </w:p>
        </w:tc>
      </w:tr>
      <w:tr>
        <w:tc>
          <w:tcPr>
            <w:tcW w:type="dxa" w:w="680"/>
          </w:tcPr>
          <w:p>
            <w:r>
              <w:rPr>
                <w:b/>
                <w:color w:val="A12C7B"/>
                <w:sz w:val="20"/>
              </w:rPr>
              <w:t>R-03</w:t>
            </w:r>
          </w:p>
        </w:tc>
        <w:tc>
          <w:tcPr>
            <w:tcW w:type="dxa" w:w="3288"/>
          </w:tcPr>
          <w:p>
            <w:r>
              <w:rPr>
                <w:b/>
                <w:color w:val="A12C7B"/>
                <w:sz w:val="20"/>
              </w:rPr>
              <w:t>Nicht-EU-Distributoren, UBO unklar</w:t>
            </w:r>
          </w:p>
        </w:tc>
        <w:tc>
          <w:tcPr>
            <w:tcW w:type="dxa" w:w="567"/>
          </w:tcPr>
          <w:p>
            <w:r>
              <w:rPr>
                <w:b/>
                <w:color w:val="A12C7B"/>
                <w:sz w:val="20"/>
              </w:rPr>
              <w:t>3</w:t>
            </w:r>
          </w:p>
        </w:tc>
        <w:tc>
          <w:tcPr>
            <w:tcW w:type="dxa" w:w="567"/>
          </w:tcPr>
          <w:p>
            <w:r>
              <w:rPr>
                <w:b/>
                <w:color w:val="A12C7B"/>
                <w:sz w:val="20"/>
              </w:rPr>
              <w:t>5</w:t>
            </w:r>
          </w:p>
        </w:tc>
        <w:tc>
          <w:tcPr>
            <w:tcW w:type="dxa" w:w="1134"/>
          </w:tcPr>
          <w:p>
            <w:r>
              <w:rPr>
                <w:b/>
                <w:color w:val="A12C7B"/>
                <w:sz w:val="20"/>
              </w:rPr>
              <w:t>15</w:t>
            </w:r>
          </w:p>
        </w:tc>
        <w:tc>
          <w:tcPr>
            <w:tcW w:type="dxa" w:w="1134"/>
          </w:tcPr>
          <w:p>
            <w:r>
              <w:rPr>
                <w:b/>
                <w:color w:val="A12C7B"/>
                <w:sz w:val="20"/>
              </w:rPr>
              <w:t>HOCH</w:t>
            </w:r>
          </w:p>
        </w:tc>
      </w:tr>
      <w:tr>
        <w:tc>
          <w:tcPr>
            <w:tcW w:type="dxa" w:w="680"/>
          </w:tcPr>
          <w:p>
            <w:r>
              <w:rPr>
                <w:sz w:val="20"/>
              </w:rPr>
              <w:t>R-04</w:t>
            </w:r>
          </w:p>
        </w:tc>
        <w:tc>
          <w:tcPr>
            <w:tcW w:type="dxa" w:w="3288"/>
          </w:tcPr>
          <w:p>
            <w:r>
              <w:rPr>
                <w:sz w:val="20"/>
              </w:rPr>
              <w:t>Drittzahlungen ohne Begründung</w:t>
            </w:r>
          </w:p>
        </w:tc>
        <w:tc>
          <w:tcPr>
            <w:tcW w:type="dxa" w:w="567"/>
          </w:tcPr>
          <w:p>
            <w:r>
              <w:rPr>
                <w:sz w:val="20"/>
              </w:rPr>
              <w:t>2</w:t>
            </w:r>
          </w:p>
        </w:tc>
        <w:tc>
          <w:tcPr>
            <w:tcW w:type="dxa" w:w="567"/>
          </w:tcPr>
          <w:p>
            <w:r>
              <w:rPr>
                <w:sz w:val="20"/>
              </w:rPr>
              <w:t>5</w:t>
            </w:r>
          </w:p>
        </w:tc>
        <w:tc>
          <w:tcPr>
            <w:tcW w:type="dxa" w:w="1134"/>
          </w:tcPr>
          <w:p>
            <w:r>
              <w:rPr>
                <w:sz w:val="20"/>
              </w:rPr>
              <w:t>10</w:t>
            </w:r>
          </w:p>
        </w:tc>
        <w:tc>
          <w:tcPr>
            <w:tcW w:type="dxa" w:w="1134"/>
          </w:tcPr>
          <w:p>
            <w:r>
              <w:rPr>
                <w:sz w:val="20"/>
              </w:rPr>
              <w:t>Mittel</w:t>
            </w:r>
          </w:p>
        </w:tc>
      </w:tr>
      <w:tr>
        <w:tc>
          <w:tcPr>
            <w:tcW w:type="dxa" w:w="680"/>
          </w:tcPr>
          <w:p>
            <w:r>
              <w:rPr>
                <w:sz w:val="20"/>
              </w:rPr>
              <w:t>R-05</w:t>
            </w:r>
          </w:p>
        </w:tc>
        <w:tc>
          <w:tcPr>
            <w:tcW w:type="dxa" w:w="3288"/>
          </w:tcPr>
          <w:p>
            <w:r>
              <w:rPr>
                <w:sz w:val="20"/>
              </w:rPr>
              <w:t>PEP-Treffer bei Vertragspartnern</w:t>
            </w:r>
          </w:p>
        </w:tc>
        <w:tc>
          <w:tcPr>
            <w:tcW w:type="dxa" w:w="567"/>
          </w:tcPr>
          <w:p>
            <w:r>
              <w:rPr>
                <w:sz w:val="20"/>
              </w:rPr>
              <w:t>2</w:t>
            </w:r>
          </w:p>
        </w:tc>
        <w:tc>
          <w:tcPr>
            <w:tcW w:type="dxa" w:w="567"/>
          </w:tcPr>
          <w:p>
            <w:r>
              <w:rPr>
                <w:sz w:val="20"/>
              </w:rPr>
              <w:t>5</w:t>
            </w:r>
          </w:p>
        </w:tc>
        <w:tc>
          <w:tcPr>
            <w:tcW w:type="dxa" w:w="1134"/>
          </w:tcPr>
          <w:p>
            <w:r>
              <w:rPr>
                <w:sz w:val="20"/>
              </w:rPr>
              <w:t>10</w:t>
            </w:r>
          </w:p>
        </w:tc>
        <w:tc>
          <w:tcPr>
            <w:tcW w:type="dxa" w:w="1134"/>
          </w:tcPr>
          <w:p>
            <w:r>
              <w:rPr>
                <w:sz w:val="20"/>
              </w:rPr>
              <w:t>Mittel</w:t>
            </w:r>
          </w:p>
        </w:tc>
      </w:tr>
      <w:tr>
        <w:tc>
          <w:tcPr>
            <w:tcW w:type="dxa" w:w="680"/>
          </w:tcPr>
          <w:p>
            <w:r>
              <w:rPr>
                <w:b/>
                <w:color w:val="A12C7B"/>
                <w:sz w:val="20"/>
              </w:rPr>
              <w:t>R-06</w:t>
            </w:r>
          </w:p>
        </w:tc>
        <w:tc>
          <w:tcPr>
            <w:tcW w:type="dxa" w:w="3288"/>
          </w:tcPr>
          <w:p>
            <w:r>
              <w:rPr>
                <w:b/>
                <w:color w:val="A12C7B"/>
                <w:sz w:val="20"/>
              </w:rPr>
              <w:t>Offshore-UBO (Zypern, Malta)</w:t>
            </w:r>
          </w:p>
        </w:tc>
        <w:tc>
          <w:tcPr>
            <w:tcW w:type="dxa" w:w="567"/>
          </w:tcPr>
          <w:p>
            <w:r>
              <w:rPr>
                <w:b/>
                <w:color w:val="A12C7B"/>
                <w:sz w:val="20"/>
              </w:rPr>
              <w:t>3</w:t>
            </w:r>
          </w:p>
        </w:tc>
        <w:tc>
          <w:tcPr>
            <w:tcW w:type="dxa" w:w="567"/>
          </w:tcPr>
          <w:p>
            <w:r>
              <w:rPr>
                <w:b/>
                <w:color w:val="A12C7B"/>
                <w:sz w:val="20"/>
              </w:rPr>
              <w:t>5</w:t>
            </w:r>
          </w:p>
        </w:tc>
        <w:tc>
          <w:tcPr>
            <w:tcW w:type="dxa" w:w="1134"/>
          </w:tcPr>
          <w:p>
            <w:r>
              <w:rPr>
                <w:b/>
                <w:color w:val="A12C7B"/>
                <w:sz w:val="20"/>
              </w:rPr>
              <w:t>15</w:t>
            </w:r>
          </w:p>
        </w:tc>
        <w:tc>
          <w:tcPr>
            <w:tcW w:type="dxa" w:w="1134"/>
          </w:tcPr>
          <w:p>
            <w:r>
              <w:rPr>
                <w:b/>
                <w:color w:val="A12C7B"/>
                <w:sz w:val="20"/>
              </w:rPr>
              <w:t>HOCH</w:t>
            </w:r>
          </w:p>
        </w:tc>
      </w:tr>
      <w:tr>
        <w:tc>
          <w:tcPr>
            <w:tcW w:type="dxa" w:w="680"/>
          </w:tcPr>
          <w:p>
            <w:r>
              <w:rPr>
                <w:sz w:val="20"/>
              </w:rPr>
              <w:t>R-07</w:t>
            </w:r>
          </w:p>
        </w:tc>
        <w:tc>
          <w:tcPr>
            <w:tcW w:type="dxa" w:w="3288"/>
          </w:tcPr>
          <w:p>
            <w:r>
              <w:rPr>
                <w:sz w:val="20"/>
              </w:rPr>
              <w:t>Handelsagenten Drittland</w:t>
            </w:r>
          </w:p>
        </w:tc>
        <w:tc>
          <w:tcPr>
            <w:tcW w:type="dxa" w:w="567"/>
          </w:tcPr>
          <w:p>
            <w:r>
              <w:rPr>
                <w:sz w:val="20"/>
              </w:rPr>
              <w:t>3</w:t>
            </w:r>
          </w:p>
        </w:tc>
        <w:tc>
          <w:tcPr>
            <w:tcW w:type="dxa" w:w="567"/>
          </w:tcPr>
          <w:p>
            <w:r>
              <w:rPr>
                <w:sz w:val="20"/>
              </w:rPr>
              <w:t>4</w:t>
            </w:r>
          </w:p>
        </w:tc>
        <w:tc>
          <w:tcPr>
            <w:tcW w:type="dxa" w:w="1134"/>
          </w:tcPr>
          <w:p>
            <w:r>
              <w:rPr>
                <w:sz w:val="20"/>
              </w:rPr>
              <w:t>12</w:t>
            </w:r>
          </w:p>
        </w:tc>
        <w:tc>
          <w:tcPr>
            <w:tcW w:type="dxa" w:w="1134"/>
          </w:tcPr>
          <w:p>
            <w:r>
              <w:rPr>
                <w:sz w:val="20"/>
              </w:rPr>
              <w:t>Mittel</w:t>
            </w:r>
          </w:p>
        </w:tc>
      </w:tr>
      <w:tr>
        <w:tc>
          <w:tcPr>
            <w:tcW w:type="dxa" w:w="680"/>
          </w:tcPr>
          <w:p>
            <w:r>
              <w:rPr>
                <w:sz w:val="20"/>
              </w:rPr>
              <w:t>R-08</w:t>
            </w:r>
          </w:p>
        </w:tc>
        <w:tc>
          <w:tcPr>
            <w:tcW w:type="dxa" w:w="3288"/>
          </w:tcPr>
          <w:p>
            <w:r>
              <w:rPr>
                <w:sz w:val="20"/>
              </w:rPr>
              <w:t>Immobilientransaktion Tochter</w:t>
            </w:r>
          </w:p>
        </w:tc>
        <w:tc>
          <w:tcPr>
            <w:tcW w:type="dxa" w:w="567"/>
          </w:tcPr>
          <w:p>
            <w:r>
              <w:rPr>
                <w:sz w:val="20"/>
              </w:rPr>
              <w:t>2</w:t>
            </w:r>
          </w:p>
        </w:tc>
        <w:tc>
          <w:tcPr>
            <w:tcW w:type="dxa" w:w="567"/>
          </w:tcPr>
          <w:p>
            <w:r>
              <w:rPr>
                <w:sz w:val="20"/>
              </w:rPr>
              <w:t>5</w:t>
            </w:r>
          </w:p>
        </w:tc>
        <w:tc>
          <w:tcPr>
            <w:tcW w:type="dxa" w:w="1134"/>
          </w:tcPr>
          <w:p>
            <w:r>
              <w:rPr>
                <w:sz w:val="20"/>
              </w:rPr>
              <w:t>10</w:t>
            </w:r>
          </w:p>
        </w:tc>
        <w:tc>
          <w:tcPr>
            <w:tcW w:type="dxa" w:w="1134"/>
          </w:tcPr>
          <w:p>
            <w:r>
              <w:rPr>
                <w:sz w:val="20"/>
              </w:rPr>
              <w:t>Mittel</w:t>
            </w:r>
          </w:p>
        </w:tc>
      </w:tr>
      <w:tr>
        <w:tc>
          <w:tcPr>
            <w:tcW w:type="dxa" w:w="680"/>
          </w:tcPr>
          <w:p>
            <w:r>
              <w:rPr>
                <w:sz w:val="20"/>
              </w:rPr>
              <w:t>R-09</w:t>
            </w:r>
          </w:p>
        </w:tc>
        <w:tc>
          <w:tcPr>
            <w:tcW w:type="dxa" w:w="3288"/>
          </w:tcPr>
          <w:p>
            <w:r>
              <w:rPr>
                <w:sz w:val="20"/>
              </w:rPr>
              <w:t>Screening-Fehler False Negative</w:t>
            </w:r>
          </w:p>
        </w:tc>
        <w:tc>
          <w:tcPr>
            <w:tcW w:type="dxa" w:w="567"/>
          </w:tcPr>
          <w:p>
            <w:r>
              <w:rPr>
                <w:sz w:val="20"/>
              </w:rPr>
              <w:t>2</w:t>
            </w:r>
          </w:p>
        </w:tc>
        <w:tc>
          <w:tcPr>
            <w:tcW w:type="dxa" w:w="567"/>
          </w:tcPr>
          <w:p>
            <w:r>
              <w:rPr>
                <w:sz w:val="20"/>
              </w:rPr>
              <w:t>5</w:t>
            </w:r>
          </w:p>
        </w:tc>
        <w:tc>
          <w:tcPr>
            <w:tcW w:type="dxa" w:w="1134"/>
          </w:tcPr>
          <w:p>
            <w:r>
              <w:rPr>
                <w:sz w:val="20"/>
              </w:rPr>
              <w:t>10</w:t>
            </w:r>
          </w:p>
        </w:tc>
        <w:tc>
          <w:tcPr>
            <w:tcW w:type="dxa" w:w="1134"/>
          </w:tcPr>
          <w:p>
            <w:r>
              <w:rPr>
                <w:sz w:val="20"/>
              </w:rPr>
              <w:t>Mittel</w:t>
            </w:r>
          </w:p>
        </w:tc>
      </w:tr>
      <w:tr>
        <w:tc>
          <w:tcPr>
            <w:tcW w:type="dxa" w:w="680"/>
          </w:tcPr>
          <w:p>
            <w:r>
              <w:rPr>
                <w:sz w:val="20"/>
              </w:rPr>
              <w:t>R-10</w:t>
            </w:r>
          </w:p>
        </w:tc>
        <w:tc>
          <w:tcPr>
            <w:tcW w:type="dxa" w:w="3288"/>
          </w:tcPr>
          <w:p>
            <w:r>
              <w:rPr>
                <w:sz w:val="20"/>
              </w:rPr>
              <w:t>Sanktionsverstoß Drittland-Lieferung</w:t>
            </w:r>
          </w:p>
        </w:tc>
        <w:tc>
          <w:tcPr>
            <w:tcW w:type="dxa" w:w="567"/>
          </w:tcPr>
          <w:p>
            <w:r>
              <w:rPr>
                <w:sz w:val="20"/>
              </w:rPr>
              <w:t>2</w:t>
            </w:r>
          </w:p>
        </w:tc>
        <w:tc>
          <w:tcPr>
            <w:tcW w:type="dxa" w:w="567"/>
          </w:tcPr>
          <w:p>
            <w:r>
              <w:rPr>
                <w:sz w:val="20"/>
              </w:rPr>
              <w:t>5</w:t>
            </w:r>
          </w:p>
        </w:tc>
        <w:tc>
          <w:tcPr>
            <w:tcW w:type="dxa" w:w="1134"/>
          </w:tcPr>
          <w:p>
            <w:r>
              <w:rPr>
                <w:sz w:val="20"/>
              </w:rPr>
              <w:t>10</w:t>
            </w:r>
          </w:p>
        </w:tc>
        <w:tc>
          <w:tcPr>
            <w:tcW w:type="dxa" w:w="1134"/>
          </w:tcPr>
          <w:p>
            <w:r>
              <w:rPr>
                <w:sz w:val="20"/>
              </w:rPr>
              <w:t>Mittel</w:t>
            </w:r>
          </w:p>
        </w:tc>
      </w:tr>
      <w:tr>
        <w:tc>
          <w:tcPr>
            <w:tcW w:type="dxa" w:w="680"/>
          </w:tcPr>
          <w:p>
            <w:r>
              <w:rPr>
                <w:sz w:val="20"/>
              </w:rPr>
              <w:t>R-11</w:t>
            </w:r>
          </w:p>
        </w:tc>
        <w:tc>
          <w:tcPr>
            <w:tcW w:type="dxa" w:w="3288"/>
          </w:tcPr>
          <w:p>
            <w:r>
              <w:rPr>
                <w:sz w:val="20"/>
              </w:rPr>
              <w:t>Transparenzregister-Unstimmigkeit</w:t>
            </w:r>
          </w:p>
        </w:tc>
        <w:tc>
          <w:tcPr>
            <w:tcW w:type="dxa" w:w="567"/>
          </w:tcPr>
          <w:p>
            <w:r>
              <w:rPr>
                <w:sz w:val="20"/>
              </w:rPr>
              <w:t>3</w:t>
            </w:r>
          </w:p>
        </w:tc>
        <w:tc>
          <w:tcPr>
            <w:tcW w:type="dxa" w:w="567"/>
          </w:tcPr>
          <w:p>
            <w:r>
              <w:rPr>
                <w:sz w:val="20"/>
              </w:rPr>
              <w:t>3</w:t>
            </w:r>
          </w:p>
        </w:tc>
        <w:tc>
          <w:tcPr>
            <w:tcW w:type="dxa" w:w="1134"/>
          </w:tcPr>
          <w:p>
            <w:r>
              <w:rPr>
                <w:sz w:val="20"/>
              </w:rPr>
              <w:t>9</w:t>
            </w:r>
          </w:p>
        </w:tc>
        <w:tc>
          <w:tcPr>
            <w:tcW w:type="dxa" w:w="1134"/>
          </w:tcPr>
          <w:p>
            <w:r>
              <w:rPr>
                <w:sz w:val="20"/>
              </w:rPr>
              <w:t>Mittel</w:t>
            </w:r>
          </w:p>
        </w:tc>
      </w:tr>
      <w:tr>
        <w:tc>
          <w:tcPr>
            <w:tcW w:type="dxa" w:w="680"/>
          </w:tcPr>
          <w:p>
            <w:r>
              <w:rPr>
                <w:sz w:val="20"/>
              </w:rPr>
              <w:t>R-12</w:t>
            </w:r>
          </w:p>
        </w:tc>
        <w:tc>
          <w:tcPr>
            <w:tcW w:type="dxa" w:w="3288"/>
          </w:tcPr>
          <w:p>
            <w:r>
              <w:rPr>
                <w:sz w:val="20"/>
              </w:rPr>
              <w:t>Schulungsdefizit Mitarbeiter</w:t>
            </w:r>
          </w:p>
        </w:tc>
        <w:tc>
          <w:tcPr>
            <w:tcW w:type="dxa" w:w="567"/>
          </w:tcPr>
          <w:p>
            <w:r>
              <w:rPr>
                <w:sz w:val="20"/>
              </w:rPr>
              <w:t>4</w:t>
            </w:r>
          </w:p>
        </w:tc>
        <w:tc>
          <w:tcPr>
            <w:tcW w:type="dxa" w:w="567"/>
          </w:tcPr>
          <w:p>
            <w:r>
              <w:rPr>
                <w:sz w:val="20"/>
              </w:rPr>
              <w:t>3</w:t>
            </w:r>
          </w:p>
        </w:tc>
        <w:tc>
          <w:tcPr>
            <w:tcW w:type="dxa" w:w="1134"/>
          </w:tcPr>
          <w:p>
            <w:r>
              <w:rPr>
                <w:sz w:val="20"/>
              </w:rPr>
              <w:t>12</w:t>
            </w:r>
          </w:p>
        </w:tc>
        <w:tc>
          <w:tcPr>
            <w:tcW w:type="dxa" w:w="1134"/>
          </w:tcPr>
          <w:p>
            <w:r>
              <w:rPr>
                <w:sz w:val="20"/>
              </w:rPr>
              <w:t>Mittel</w:t>
            </w:r>
          </w:p>
        </w:tc>
      </w:tr>
      <w:tr>
        <w:tc>
          <w:tcPr>
            <w:tcW w:type="dxa" w:w="680"/>
          </w:tcPr>
          <w:p>
            <w:r>
              <w:rPr>
                <w:sz w:val="20"/>
              </w:rPr>
              <w:t>R-13</w:t>
            </w:r>
          </w:p>
        </w:tc>
        <w:tc>
          <w:tcPr>
            <w:tcW w:type="dxa" w:w="3288"/>
          </w:tcPr>
          <w:p>
            <w:r>
              <w:rPr>
                <w:sz w:val="20"/>
              </w:rPr>
              <w:t>Fehlende Verdachtsmeldung</w:t>
            </w:r>
          </w:p>
        </w:tc>
        <w:tc>
          <w:tcPr>
            <w:tcW w:type="dxa" w:w="567"/>
          </w:tcPr>
          <w:p>
            <w:r>
              <w:rPr>
                <w:sz w:val="20"/>
              </w:rPr>
              <w:t>2</w:t>
            </w:r>
          </w:p>
        </w:tc>
        <w:tc>
          <w:tcPr>
            <w:tcW w:type="dxa" w:w="567"/>
          </w:tcPr>
          <w:p>
            <w:r>
              <w:rPr>
                <w:sz w:val="20"/>
              </w:rPr>
              <w:t>5</w:t>
            </w:r>
          </w:p>
        </w:tc>
        <w:tc>
          <w:tcPr>
            <w:tcW w:type="dxa" w:w="1134"/>
          </w:tcPr>
          <w:p>
            <w:r>
              <w:rPr>
                <w:sz w:val="20"/>
              </w:rPr>
              <w:t>10</w:t>
            </w:r>
          </w:p>
        </w:tc>
        <w:tc>
          <w:tcPr>
            <w:tcW w:type="dxa" w:w="1134"/>
          </w:tcPr>
          <w:p>
            <w:r>
              <w:rPr>
                <w:sz w:val="20"/>
              </w:rPr>
              <w:t>Mittel</w:t>
            </w:r>
          </w:p>
        </w:tc>
      </w:tr>
      <w:tr>
        <w:tc>
          <w:tcPr>
            <w:tcW w:type="dxa" w:w="680"/>
          </w:tcPr>
          <w:p>
            <w:r>
              <w:rPr>
                <w:sz w:val="20"/>
              </w:rPr>
              <w:t>R-14</w:t>
            </w:r>
          </w:p>
        </w:tc>
        <w:tc>
          <w:tcPr>
            <w:tcW w:type="dxa" w:w="3288"/>
          </w:tcPr>
          <w:p>
            <w:r>
              <w:rPr>
                <w:sz w:val="20"/>
              </w:rPr>
              <w:t>Structuring unter Schwelle</w:t>
            </w:r>
          </w:p>
        </w:tc>
        <w:tc>
          <w:tcPr>
            <w:tcW w:type="dxa" w:w="567"/>
          </w:tcPr>
          <w:p>
            <w:r>
              <w:rPr>
                <w:sz w:val="20"/>
              </w:rPr>
              <w:t>2</w:t>
            </w:r>
          </w:p>
        </w:tc>
        <w:tc>
          <w:tcPr>
            <w:tcW w:type="dxa" w:w="567"/>
          </w:tcPr>
          <w:p>
            <w:r>
              <w:rPr>
                <w:sz w:val="20"/>
              </w:rPr>
              <w:t>4</w:t>
            </w:r>
          </w:p>
        </w:tc>
        <w:tc>
          <w:tcPr>
            <w:tcW w:type="dxa" w:w="1134"/>
          </w:tcPr>
          <w:p>
            <w:r>
              <w:rPr>
                <w:sz w:val="20"/>
              </w:rPr>
              <w:t>8</w:t>
            </w:r>
          </w:p>
        </w:tc>
        <w:tc>
          <w:tcPr>
            <w:tcW w:type="dxa" w:w="1134"/>
          </w:tcPr>
          <w:p>
            <w:r>
              <w:rPr>
                <w:sz w:val="20"/>
              </w:rPr>
              <w:t>Mittel</w:t>
            </w:r>
          </w:p>
        </w:tc>
      </w:tr>
      <w:tr>
        <w:tc>
          <w:tcPr>
            <w:tcW w:type="dxa" w:w="680"/>
          </w:tcPr>
          <w:p>
            <w:r>
              <w:rPr>
                <w:sz w:val="20"/>
              </w:rPr>
              <w:t>R-15</w:t>
            </w:r>
          </w:p>
        </w:tc>
        <w:tc>
          <w:tcPr>
            <w:tcW w:type="dxa" w:w="3288"/>
          </w:tcPr>
          <w:p>
            <w:r>
              <w:rPr>
                <w:sz w:val="20"/>
              </w:rPr>
              <w:t>Kryptowährungs-Zahlungen</w:t>
            </w:r>
          </w:p>
        </w:tc>
        <w:tc>
          <w:tcPr>
            <w:tcW w:type="dxa" w:w="567"/>
          </w:tcPr>
          <w:p>
            <w:r>
              <w:rPr>
                <w:sz w:val="20"/>
              </w:rPr>
              <w:t>1</w:t>
            </w:r>
          </w:p>
        </w:tc>
        <w:tc>
          <w:tcPr>
            <w:tcW w:type="dxa" w:w="567"/>
          </w:tcPr>
          <w:p>
            <w:r>
              <w:rPr>
                <w:sz w:val="20"/>
              </w:rPr>
              <w:t>5</w:t>
            </w:r>
          </w:p>
        </w:tc>
        <w:tc>
          <w:tcPr>
            <w:tcW w:type="dxa" w:w="1134"/>
          </w:tcPr>
          <w:p>
            <w:r>
              <w:rPr>
                <w:sz w:val="20"/>
              </w:rPr>
              <w:t>5</w:t>
            </w:r>
          </w:p>
        </w:tc>
        <w:tc>
          <w:tcPr>
            <w:tcW w:type="dxa" w:w="1134"/>
          </w:tcPr>
          <w:p>
            <w:r>
              <w:rPr>
                <w:sz w:val="20"/>
              </w:rPr>
              <w:t>Niedrig</w:t>
            </w:r>
          </w:p>
        </w:tc>
      </w:tr>
    </w:tbl>
    <w:p/>
    <w:p>
      <w:r>
        <w:rPr>
          <w:b/>
          <w:color w:val="1B474D"/>
          <w:sz w:val="28"/>
        </w:rPr>
        <w:t>4. Sonderrisiko: Danube Trade Solutions SRL (Anlassfall)</w:t>
      </w:r>
    </w:p>
    <w:tbl>
      <w:tblPr>
        <w:tblStyle w:val="TableGrid"/>
        <w:tblW w:type="auto" w:w="0"/>
        <w:tblLook w:firstColumn="1" w:firstRow="1" w:lastColumn="0" w:lastRow="0" w:noHBand="0" w:noVBand="1" w:val="04A0"/>
      </w:tblPr>
      <w:tblGrid>
        <w:gridCol w:w="2880"/>
        <w:gridCol w:w="2880"/>
        <w:gridCol w:w="2880"/>
      </w:tblGrid>
      <w:tr>
        <w:tc>
          <w:tcPr>
            <w:tcW w:type="dxa" w:w="1984"/>
          </w:tcPr>
          <w:p>
            <w:pPr>
              <w:jc w:val="left"/>
            </w:pPr>
            <w:r>
              <w:rPr>
                <w:b/>
                <w:sz w:val="20"/>
              </w:rPr>
              <w:t>Indikator</w:t>
            </w:r>
          </w:p>
        </w:tc>
        <w:tc>
          <w:tcPr>
            <w:tcW w:type="dxa" w:w="5102"/>
          </w:tcPr>
          <w:p>
            <w:pPr>
              <w:jc w:val="left"/>
            </w:pPr>
            <w:r>
              <w:rPr>
                <w:b/>
                <w:sz w:val="20"/>
              </w:rPr>
              <w:t>Sachverhalt</w:t>
            </w:r>
          </w:p>
        </w:tc>
        <w:tc>
          <w:tcPr>
            <w:tcW w:type="dxa" w:w="1984"/>
          </w:tcPr>
          <w:p>
            <w:pPr>
              <w:jc w:val="left"/>
            </w:pPr>
            <w:r>
              <w:rPr>
                <w:b/>
                <w:sz w:val="20"/>
              </w:rPr>
              <w:t>Bewertung</w:t>
            </w:r>
          </w:p>
        </w:tc>
      </w:tr>
      <w:tr>
        <w:tc>
          <w:tcPr>
            <w:tcW w:type="dxa" w:w="1984"/>
          </w:tcPr>
          <w:p>
            <w:r>
              <w:rPr>
                <w:sz w:val="20"/>
              </w:rPr>
              <w:t>Unklarer UBO</w:t>
            </w:r>
          </w:p>
        </w:tc>
        <w:tc>
          <w:tcPr>
            <w:tcW w:type="dxa" w:w="5102"/>
          </w:tcPr>
          <w:p>
            <w:r>
              <w:rPr>
                <w:sz w:val="20"/>
              </w:rPr>
              <w:t>Offshore-Holding Zypern, keine natürliche Person</w:t>
            </w:r>
          </w:p>
        </w:tc>
        <w:tc>
          <w:tcPr>
            <w:tcW w:type="dxa" w:w="1984"/>
          </w:tcPr>
          <w:p>
            <w:r>
              <w:rPr>
                <w:sz w:val="20"/>
              </w:rPr>
              <w:t>Hoch</w:t>
            </w:r>
          </w:p>
        </w:tc>
      </w:tr>
      <w:tr>
        <w:tc>
          <w:tcPr>
            <w:tcW w:type="dxa" w:w="1984"/>
          </w:tcPr>
          <w:p>
            <w:r>
              <w:rPr>
                <w:sz w:val="20"/>
              </w:rPr>
              <w:t>PEP-Treffer</w:t>
            </w:r>
          </w:p>
        </w:tc>
        <w:tc>
          <w:tcPr>
            <w:tcW w:type="dxa" w:w="5102"/>
          </w:tcPr>
          <w:p>
            <w:r>
              <w:rPr>
                <w:sz w:val="20"/>
              </w:rPr>
              <w:t>GF Andrei Moldovan, Namensähnlichkeit ehem. Minister</w:t>
            </w:r>
          </w:p>
        </w:tc>
        <w:tc>
          <w:tcPr>
            <w:tcW w:type="dxa" w:w="1984"/>
          </w:tcPr>
          <w:p>
            <w:r>
              <w:rPr>
                <w:sz w:val="20"/>
              </w:rPr>
              <w:t>Hoch</w:t>
            </w:r>
          </w:p>
        </w:tc>
      </w:tr>
      <w:tr>
        <w:tc>
          <w:tcPr>
            <w:tcW w:type="dxa" w:w="1984"/>
          </w:tcPr>
          <w:p>
            <w:r>
              <w:rPr>
                <w:sz w:val="20"/>
              </w:rPr>
              <w:t>Drittzahlung</w:t>
            </w:r>
          </w:p>
        </w:tc>
        <w:tc>
          <w:tcPr>
            <w:tcW w:type="dxa" w:w="5102"/>
          </w:tcPr>
          <w:p>
            <w:r>
              <w:rPr>
                <w:sz w:val="20"/>
              </w:rPr>
              <w:t>187.500 EUR von Adriatic Commerce Ltd. (Malta)</w:t>
            </w:r>
          </w:p>
        </w:tc>
        <w:tc>
          <w:tcPr>
            <w:tcW w:type="dxa" w:w="1984"/>
          </w:tcPr>
          <w:p>
            <w:r>
              <w:rPr>
                <w:sz w:val="20"/>
              </w:rPr>
              <w:t>Hoch</w:t>
            </w:r>
          </w:p>
        </w:tc>
      </w:tr>
      <w:tr>
        <w:tc>
          <w:tcPr>
            <w:tcW w:type="dxa" w:w="1984"/>
          </w:tcPr>
          <w:p>
            <w:r>
              <w:rPr>
                <w:sz w:val="20"/>
              </w:rPr>
              <w:t>Länderrisiko</w:t>
            </w:r>
          </w:p>
        </w:tc>
        <w:tc>
          <w:tcPr>
            <w:tcW w:type="dxa" w:w="5102"/>
          </w:tcPr>
          <w:p>
            <w:r>
              <w:rPr>
                <w:sz w:val="20"/>
              </w:rPr>
              <w:t>Rumänien + Malta + Zypern</w:t>
            </w:r>
          </w:p>
        </w:tc>
        <w:tc>
          <w:tcPr>
            <w:tcW w:type="dxa" w:w="1984"/>
          </w:tcPr>
          <w:p>
            <w:r>
              <w:rPr>
                <w:sz w:val="20"/>
              </w:rPr>
              <w:t>Hoch</w:t>
            </w:r>
          </w:p>
        </w:tc>
      </w:tr>
      <w:tr>
        <w:tc>
          <w:tcPr>
            <w:tcW w:type="dxa" w:w="1984"/>
          </w:tcPr>
          <w:p>
            <w:r>
              <w:rPr>
                <w:sz w:val="20"/>
              </w:rPr>
              <w:t>Zeitdruck</w:t>
            </w:r>
          </w:p>
        </w:tc>
        <w:tc>
          <w:tcPr>
            <w:tcW w:type="dxa" w:w="5102"/>
          </w:tcPr>
          <w:p>
            <w:r>
              <w:rPr>
                <w:sz w:val="20"/>
              </w:rPr>
              <w:t>Vertrieb drängt auf Freigabe bei offener KYC</w:t>
            </w:r>
          </w:p>
        </w:tc>
        <w:tc>
          <w:tcPr>
            <w:tcW w:type="dxa" w:w="1984"/>
          </w:tcPr>
          <w:p>
            <w:r>
              <w:rPr>
                <w:sz w:val="20"/>
              </w:rPr>
              <w:t>Hoch</w:t>
            </w:r>
          </w:p>
        </w:tc>
      </w:tr>
    </w:tbl>
    <w:p/>
    <w:p>
      <w:r>
        <w:rPr>
          <w:b/>
        </w:rPr>
        <w:t>Gesamtbewertung Danube Trade Solutions SRL: HOCH → Verdachtsmeldung VM-MH-2026-0041 eingeleitet.</w:t>
      </w:r>
    </w:p>
    <w:p/>
    <w:p>
      <w:r>
        <w:rPr>
          <w:b/>
          <w:color w:val="1B474D"/>
          <w:sz w:val="28"/>
        </w:rPr>
        <w:t>5. Genehmigungsvermerk</w:t>
      </w:r>
    </w:p>
    <w:tbl>
      <w:tblPr>
        <w:tblStyle w:val="TableGrid"/>
        <w:tblW w:type="auto" w:w="0"/>
        <w:tblLook w:firstColumn="1" w:firstRow="1" w:lastColumn="0" w:lastRow="0" w:noHBand="0" w:noVBand="1" w:val="04A0"/>
      </w:tblPr>
      <w:tblGrid>
        <w:gridCol w:w="2880"/>
        <w:gridCol w:w="2880"/>
        <w:gridCol w:w="2880"/>
      </w:tblGrid>
      <w:tr>
        <w:tc>
          <w:tcPr>
            <w:tcW w:type="dxa" w:w="2835"/>
          </w:tcPr>
          <w:p>
            <w:pPr>
              <w:jc w:val="left"/>
            </w:pPr>
            <w:r>
              <w:rPr>
                <w:b/>
                <w:sz w:val="20"/>
              </w:rPr>
              <w:t>Funktion</w:t>
            </w:r>
          </w:p>
        </w:tc>
        <w:tc>
          <w:tcPr>
            <w:tcW w:type="dxa" w:w="3118"/>
          </w:tcPr>
          <w:p>
            <w:pPr>
              <w:jc w:val="left"/>
            </w:pPr>
            <w:r>
              <w:rPr>
                <w:b/>
                <w:sz w:val="20"/>
              </w:rPr>
              <w:t>Name</w:t>
            </w:r>
          </w:p>
        </w:tc>
        <w:tc>
          <w:tcPr>
            <w:tcW w:type="dxa" w:w="3118"/>
          </w:tcPr>
          <w:p>
            <w:pPr>
              <w:jc w:val="left"/>
            </w:pPr>
            <w:r>
              <w:rPr>
                <w:b/>
                <w:sz w:val="20"/>
              </w:rPr>
              <w:t>Datum</w:t>
            </w:r>
          </w:p>
        </w:tc>
      </w:tr>
      <w:tr>
        <w:tc>
          <w:tcPr>
            <w:tcW w:type="dxa" w:w="2835"/>
          </w:tcPr>
          <w:p>
            <w:r>
              <w:rPr>
                <w:sz w:val="20"/>
              </w:rPr>
              <w:t>Geschäftsführer</w:t>
            </w:r>
          </w:p>
        </w:tc>
        <w:tc>
          <w:tcPr>
            <w:tcW w:type="dxa" w:w="3118"/>
          </w:tcPr>
          <w:p>
            <w:r>
              <w:rPr>
                <w:sz w:val="20"/>
              </w:rPr>
              <w:t>Klaus-Dieter Brenner</w:t>
            </w:r>
          </w:p>
        </w:tc>
        <w:tc>
          <w:tcPr>
            <w:tcW w:type="dxa" w:w="3118"/>
          </w:tcPr>
          <w:p>
            <w:r>
              <w:rPr>
                <w:sz w:val="20"/>
              </w:rPr>
              <w:t>15.05.2026</w:t>
            </w:r>
          </w:p>
        </w:tc>
      </w:tr>
      <w:tr>
        <w:tc>
          <w:tcPr>
            <w:tcW w:type="dxa" w:w="2835"/>
          </w:tcPr>
          <w:p>
            <w:r>
              <w:rPr>
                <w:sz w:val="20"/>
              </w:rPr>
              <w:t>Geschäftsführerin</w:t>
            </w:r>
          </w:p>
        </w:tc>
        <w:tc>
          <w:tcPr>
            <w:tcW w:type="dxa" w:w="3118"/>
          </w:tcPr>
          <w:p>
            <w:r>
              <w:rPr>
                <w:sz w:val="20"/>
              </w:rPr>
              <w:t>Sabine Wollner</w:t>
            </w:r>
          </w:p>
        </w:tc>
        <w:tc>
          <w:tcPr>
            <w:tcW w:type="dxa" w:w="3118"/>
          </w:tcPr>
          <w:p>
            <w:r>
              <w:rPr>
                <w:sz w:val="20"/>
              </w:rPr>
              <w:t>15.05.2026</w:t>
            </w:r>
          </w:p>
        </w:tc>
      </w:tr>
      <w:tr>
        <w:tc>
          <w:tcPr>
            <w:tcW w:type="dxa" w:w="2835"/>
          </w:tcPr>
          <w:p>
            <w:r>
              <w:rPr>
                <w:sz w:val="20"/>
              </w:rPr>
              <w:t>Geldwäschebeauftragter</w:t>
            </w:r>
          </w:p>
        </w:tc>
        <w:tc>
          <w:tcPr>
            <w:tcW w:type="dxa" w:w="3118"/>
          </w:tcPr>
          <w:p>
            <w:r>
              <w:rPr>
                <w:sz w:val="20"/>
              </w:rPr>
              <w:t>Thomas Eckhardt</w:t>
            </w:r>
          </w:p>
        </w:tc>
        <w:tc>
          <w:tcPr>
            <w:tcW w:type="dxa" w:w="3118"/>
          </w:tcPr>
          <w:p>
            <w:r>
              <w:rPr>
                <w:sz w:val="20"/>
              </w:rPr>
              <w:t>15.05.2026</w:t>
            </w:r>
          </w:p>
        </w:tc>
      </w:tr>
    </w:tbl>
    <w:sectPr w:rsidR="00FC693F" w:rsidRPr="0006063C" w:rsidSect="00034616">
      <w:headerReference w:type="default" r:id="rId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color w:val="7A7974"/>
        <w:sz w:val="18"/>
      </w:rPr>
      <w:t>Dok.-Nr.: RA-MH-2026-02 | Version 2.0 – 15.05.2026</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