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sz w:val="28"/>
        </w:rPr>
        <w:t>Musterholding GmbH</w:t>
        <w:br/>
      </w:r>
      <w:r>
        <w:rPr>
          <w:sz w:val="20"/>
        </w:rPr>
        <w:t>Gutleutstraße 44 · 60329 Frankfurt am Main</w:t>
        <w:br/>
      </w:r>
      <w:r>
        <w:rPr>
          <w:sz w:val="20"/>
        </w:rPr>
        <w:t>Geldwäschebeauftragter: Thomas Eckhardt</w:t>
        <w:br/>
      </w:r>
      <w:r>
        <w:rPr>
          <w:sz w:val="20"/>
        </w:rPr>
        <w:t>compliance@musterholding.de · Tel: +49 69 74 55 291</w:t>
      </w:r>
    </w:p>
    <w:p/>
    <w:p>
      <w:r>
        <w:rPr>
          <w:b/>
        </w:rPr>
        <w:t>An:</w:t>
        <w:br/>
      </w:r>
      <w:r>
        <w:t>Financial Intelligence Unit (FIU)</w:t>
        <w:br/>
        <w:t>Bundeszollverwaltung</w:t>
        <w:br/>
        <w:t>Dienstgebäude, 53303 Bonn</w:t>
        <w:br/>
        <w:t>goAML-Einreichung: 19.05.2026, 11:34 Uhr MESZ</w:t>
      </w:r>
    </w:p>
    <w:p/>
    <w:p>
      <w:pPr>
        <w:jc w:val="right"/>
      </w:pPr>
      <w:r>
        <w:t>Frankfurt am Main, 19. Mai 2026</w:t>
      </w:r>
    </w:p>
    <w:p/>
    <w:p>
      <w:r>
        <w:rPr>
          <w:b/>
          <w:sz w:val="24"/>
        </w:rPr>
        <w:t>Verdachtsmeldung gemäß § 43 GwG</w:t>
        <w:br/>
        <w:t>Meldungs-Nr.: VM-MH-2026-0041</w:t>
      </w:r>
    </w:p>
    <w:p/>
    <w:p>
      <w:r>
        <w:rPr>
          <w:b/>
          <w:color w:val="1B474D"/>
          <w:sz w:val="28"/>
        </w:rPr>
        <w:t>1. Meldender Verpflichteter</w:t>
      </w:r>
    </w:p>
    <w:tbl>
      <w:tblPr>
        <w:tblStyle w:val="TableGrid"/>
        <w:tblW w:type="auto" w:w="0"/>
        <w:tblLook w:firstColumn="1" w:firstRow="1" w:lastColumn="0" w:lastRow="0" w:noHBand="0" w:noVBand="1" w:val="04A0"/>
      </w:tblPr>
      <w:tblGrid>
        <w:gridCol w:w="4320"/>
        <w:gridCol w:w="4320"/>
      </w:tblGrid>
      <w:tr>
        <w:tc>
          <w:tcPr>
            <w:tcW w:type="dxa" w:w="3118"/>
          </w:tcPr>
          <w:p>
            <w:pPr>
              <w:jc w:val="left"/>
            </w:pPr>
            <w:r>
              <w:rPr>
                <w:b/>
                <w:sz w:val="20"/>
              </w:rPr>
              <w:t>Feld</w:t>
            </w:r>
          </w:p>
        </w:tc>
        <w:tc>
          <w:tcPr>
            <w:tcW w:type="dxa" w:w="5953"/>
          </w:tcPr>
          <w:p>
            <w:pPr>
              <w:jc w:val="left"/>
            </w:pPr>
            <w:r>
              <w:rPr>
                <w:b/>
                <w:sz w:val="20"/>
              </w:rPr>
              <w:t>Inhalt</w:t>
            </w:r>
          </w:p>
        </w:tc>
      </w:tr>
      <w:tr>
        <w:tc>
          <w:tcPr>
            <w:tcW w:type="dxa" w:w="3118"/>
          </w:tcPr>
          <w:p>
            <w:r>
              <w:rPr>
                <w:sz w:val="20"/>
              </w:rPr>
              <w:t>Name</w:t>
            </w:r>
          </w:p>
        </w:tc>
        <w:tc>
          <w:tcPr>
            <w:tcW w:type="dxa" w:w="5953"/>
          </w:tcPr>
          <w:p>
            <w:r>
              <w:rPr>
                <w:sz w:val="20"/>
              </w:rPr>
              <w:t>Musterholding GmbH</w:t>
            </w:r>
          </w:p>
        </w:tc>
      </w:tr>
      <w:tr>
        <w:tc>
          <w:tcPr>
            <w:tcW w:type="dxa" w:w="3118"/>
          </w:tcPr>
          <w:p>
            <w:r>
              <w:rPr>
                <w:sz w:val="20"/>
              </w:rPr>
              <w:t>Rechtsform</w:t>
            </w:r>
          </w:p>
        </w:tc>
        <w:tc>
          <w:tcPr>
            <w:tcW w:type="dxa" w:w="5953"/>
          </w:tcPr>
          <w:p>
            <w:r>
              <w:rPr>
                <w:sz w:val="20"/>
              </w:rPr>
              <w:t>GmbH</w:t>
            </w:r>
          </w:p>
        </w:tc>
      </w:tr>
      <w:tr>
        <w:tc>
          <w:tcPr>
            <w:tcW w:type="dxa" w:w="3118"/>
          </w:tcPr>
          <w:p>
            <w:r>
              <w:rPr>
                <w:sz w:val="20"/>
              </w:rPr>
              <w:t>HRB</w:t>
            </w:r>
          </w:p>
        </w:tc>
        <w:tc>
          <w:tcPr>
            <w:tcW w:type="dxa" w:w="5953"/>
          </w:tcPr>
          <w:p>
            <w:r>
              <w:rPr>
                <w:sz w:val="20"/>
              </w:rPr>
              <w:t>HRB 74281 B (AG Frankfurt am Main)</w:t>
            </w:r>
          </w:p>
        </w:tc>
      </w:tr>
      <w:tr>
        <w:tc>
          <w:tcPr>
            <w:tcW w:type="dxa" w:w="3118"/>
          </w:tcPr>
          <w:p>
            <w:r>
              <w:rPr>
                <w:sz w:val="20"/>
              </w:rPr>
              <w:t>Anschrift</w:t>
            </w:r>
          </w:p>
        </w:tc>
        <w:tc>
          <w:tcPr>
            <w:tcW w:type="dxa" w:w="5953"/>
          </w:tcPr>
          <w:p>
            <w:r>
              <w:rPr>
                <w:sz w:val="20"/>
              </w:rPr>
              <w:t>Gutleutstraße 44, 60329 Frankfurt am Main</w:t>
            </w:r>
          </w:p>
        </w:tc>
      </w:tr>
      <w:tr>
        <w:tc>
          <w:tcPr>
            <w:tcW w:type="dxa" w:w="3118"/>
          </w:tcPr>
          <w:p>
            <w:r>
              <w:rPr>
                <w:sz w:val="20"/>
              </w:rPr>
              <w:t>Verpflichtetengruppe</w:t>
            </w:r>
          </w:p>
        </w:tc>
        <w:tc>
          <w:tcPr>
            <w:tcW w:type="dxa" w:w="5953"/>
          </w:tcPr>
          <w:p>
            <w:r>
              <w:rPr>
                <w:sz w:val="20"/>
              </w:rPr>
              <w:t>Güterhändler (§ 2 Abs. 1 Nr. 16 GwG)</w:t>
            </w:r>
          </w:p>
        </w:tc>
      </w:tr>
      <w:tr>
        <w:tc>
          <w:tcPr>
            <w:tcW w:type="dxa" w:w="3118"/>
          </w:tcPr>
          <w:p>
            <w:r>
              <w:rPr>
                <w:sz w:val="20"/>
              </w:rPr>
              <w:t>Aufsichtsbehörde</w:t>
            </w:r>
          </w:p>
        </w:tc>
        <w:tc>
          <w:tcPr>
            <w:tcW w:type="dxa" w:w="5953"/>
          </w:tcPr>
          <w:p>
            <w:r>
              <w:rPr>
                <w:sz w:val="20"/>
              </w:rPr>
              <w:t>Regierungspräsidium Darmstadt, Ref. IV/AML</w:t>
            </w:r>
          </w:p>
        </w:tc>
      </w:tr>
      <w:tr>
        <w:tc>
          <w:tcPr>
            <w:tcW w:type="dxa" w:w="3118"/>
          </w:tcPr>
          <w:p>
            <w:r>
              <w:rPr>
                <w:sz w:val="20"/>
              </w:rPr>
              <w:t>Geldwäschebeauftragter</w:t>
            </w:r>
          </w:p>
        </w:tc>
        <w:tc>
          <w:tcPr>
            <w:tcW w:type="dxa" w:w="5953"/>
          </w:tcPr>
          <w:p>
            <w:r>
              <w:rPr>
                <w:sz w:val="20"/>
              </w:rPr>
              <w:t>Thomas Eckhardt</w:t>
            </w:r>
          </w:p>
        </w:tc>
      </w:tr>
      <w:tr>
        <w:tc>
          <w:tcPr>
            <w:tcW w:type="dxa" w:w="3118"/>
          </w:tcPr>
          <w:p>
            <w:r>
              <w:rPr>
                <w:sz w:val="20"/>
              </w:rPr>
              <w:t>E-Mail GwB</w:t>
            </w:r>
          </w:p>
        </w:tc>
        <w:tc>
          <w:tcPr>
            <w:tcW w:type="dxa" w:w="5953"/>
          </w:tcPr>
          <w:p>
            <w:r>
              <w:rPr>
                <w:sz w:val="20"/>
              </w:rPr>
              <w:t>t.eckhardt@musterholding.de</w:t>
            </w:r>
          </w:p>
        </w:tc>
      </w:tr>
    </w:tbl>
    <w:p/>
    <w:p>
      <w:r>
        <w:rPr>
          <w:b/>
          <w:color w:val="1B474D"/>
          <w:sz w:val="28"/>
        </w:rPr>
        <w:t>2. Verdächtige Transaktion</w:t>
      </w:r>
    </w:p>
    <w:tbl>
      <w:tblPr>
        <w:tblStyle w:val="TableGrid"/>
        <w:tblW w:type="auto" w:w="0"/>
        <w:tblLook w:firstColumn="1" w:firstRow="1" w:lastColumn="0" w:lastRow="0" w:noHBand="0" w:noVBand="1" w:val="04A0"/>
      </w:tblPr>
      <w:tblGrid>
        <w:gridCol w:w="4320"/>
        <w:gridCol w:w="4320"/>
      </w:tblGrid>
      <w:tr>
        <w:tc>
          <w:tcPr>
            <w:tcW w:type="dxa" w:w="3118"/>
          </w:tcPr>
          <w:p>
            <w:pPr>
              <w:jc w:val="left"/>
            </w:pPr>
            <w:r>
              <w:rPr>
                <w:b/>
                <w:sz w:val="20"/>
              </w:rPr>
              <w:t>Feld</w:t>
            </w:r>
          </w:p>
        </w:tc>
        <w:tc>
          <w:tcPr>
            <w:tcW w:type="dxa" w:w="5953"/>
          </w:tcPr>
          <w:p>
            <w:pPr>
              <w:jc w:val="left"/>
            </w:pPr>
            <w:r>
              <w:rPr>
                <w:b/>
                <w:sz w:val="20"/>
              </w:rPr>
              <w:t>Inhalt</w:t>
            </w:r>
          </w:p>
        </w:tc>
      </w:tr>
      <w:tr>
        <w:tc>
          <w:tcPr>
            <w:tcW w:type="dxa" w:w="3118"/>
          </w:tcPr>
          <w:p>
            <w:r>
              <w:rPr>
                <w:sz w:val="20"/>
              </w:rPr>
              <w:t>Datum</w:t>
            </w:r>
          </w:p>
        </w:tc>
        <w:tc>
          <w:tcPr>
            <w:tcW w:type="dxa" w:w="5953"/>
          </w:tcPr>
          <w:p>
            <w:r>
              <w:rPr>
                <w:sz w:val="20"/>
              </w:rPr>
              <w:t>28.04.2026</w:t>
            </w:r>
          </w:p>
        </w:tc>
      </w:tr>
      <w:tr>
        <w:tc>
          <w:tcPr>
            <w:tcW w:type="dxa" w:w="3118"/>
          </w:tcPr>
          <w:p>
            <w:r>
              <w:rPr>
                <w:sz w:val="20"/>
              </w:rPr>
              <w:t>Betrag</w:t>
            </w:r>
          </w:p>
        </w:tc>
        <w:tc>
          <w:tcPr>
            <w:tcW w:type="dxa" w:w="5953"/>
          </w:tcPr>
          <w:p>
            <w:r>
              <w:rPr>
                <w:sz w:val="20"/>
              </w:rPr>
              <w:t>187.500,00 EUR</w:t>
            </w:r>
          </w:p>
        </w:tc>
      </w:tr>
      <w:tr>
        <w:tc>
          <w:tcPr>
            <w:tcW w:type="dxa" w:w="3118"/>
          </w:tcPr>
          <w:p>
            <w:r>
              <w:rPr>
                <w:sz w:val="20"/>
              </w:rPr>
              <w:t>Auftraggeber</w:t>
            </w:r>
          </w:p>
        </w:tc>
        <w:tc>
          <w:tcPr>
            <w:tcW w:type="dxa" w:w="5953"/>
          </w:tcPr>
          <w:p>
            <w:r>
              <w:rPr>
                <w:sz w:val="20"/>
              </w:rPr>
              <w:t>Adriatic Commerce Ltd., Valletta, Malta</w:t>
            </w:r>
          </w:p>
        </w:tc>
      </w:tr>
      <w:tr>
        <w:tc>
          <w:tcPr>
            <w:tcW w:type="dxa" w:w="3118"/>
          </w:tcPr>
          <w:p>
            <w:r>
              <w:rPr>
                <w:sz w:val="20"/>
              </w:rPr>
              <w:t>Auftraggeber-IBAN</w:t>
            </w:r>
          </w:p>
        </w:tc>
        <w:tc>
          <w:tcPr>
            <w:tcW w:type="dxa" w:w="5953"/>
          </w:tcPr>
          <w:p>
            <w:r>
              <w:rPr>
                <w:sz w:val="20"/>
              </w:rPr>
              <w:t>MT84 MALT 0110 0001 2345 MTLB 010</w:t>
            </w:r>
          </w:p>
        </w:tc>
      </w:tr>
      <w:tr>
        <w:tc>
          <w:tcPr>
            <w:tcW w:type="dxa" w:w="3118"/>
          </w:tcPr>
          <w:p>
            <w:r>
              <w:rPr>
                <w:sz w:val="20"/>
              </w:rPr>
              <w:t>Empfänger</w:t>
            </w:r>
          </w:p>
        </w:tc>
        <w:tc>
          <w:tcPr>
            <w:tcW w:type="dxa" w:w="5953"/>
          </w:tcPr>
          <w:p>
            <w:r>
              <w:rPr>
                <w:sz w:val="20"/>
              </w:rPr>
              <w:t>Musterholding GmbH</w:t>
            </w:r>
          </w:p>
        </w:tc>
      </w:tr>
      <w:tr>
        <w:tc>
          <w:tcPr>
            <w:tcW w:type="dxa" w:w="3118"/>
          </w:tcPr>
          <w:p>
            <w:r>
              <w:rPr>
                <w:sz w:val="20"/>
              </w:rPr>
              <w:t>Empfänger-IBAN</w:t>
            </w:r>
          </w:p>
        </w:tc>
        <w:tc>
          <w:tcPr>
            <w:tcW w:type="dxa" w:w="5953"/>
          </w:tcPr>
          <w:p>
            <w:r>
              <w:rPr>
                <w:sz w:val="20"/>
              </w:rPr>
              <w:t>DE44 5004 0000 0517 8837 00</w:t>
            </w:r>
          </w:p>
        </w:tc>
      </w:tr>
      <w:tr>
        <w:tc>
          <w:tcPr>
            <w:tcW w:type="dxa" w:w="3118"/>
          </w:tcPr>
          <w:p>
            <w:r>
              <w:rPr>
                <w:sz w:val="20"/>
              </w:rPr>
              <w:t>Verwendungszweck</w:t>
            </w:r>
          </w:p>
        </w:tc>
        <w:tc>
          <w:tcPr>
            <w:tcW w:type="dxa" w:w="5953"/>
          </w:tcPr>
          <w:p>
            <w:r>
              <w:rPr>
                <w:sz w:val="20"/>
              </w:rPr>
              <w:t>Advance Payment – Contract MH-DTS-2026-04</w:t>
            </w:r>
          </w:p>
        </w:tc>
      </w:tr>
      <w:tr>
        <w:tc>
          <w:tcPr>
            <w:tcW w:type="dxa" w:w="3118"/>
          </w:tcPr>
          <w:p>
            <w:r>
              <w:rPr>
                <w:sz w:val="20"/>
              </w:rPr>
              <w:t>Status</w:t>
            </w:r>
          </w:p>
        </w:tc>
        <w:tc>
          <w:tcPr>
            <w:tcW w:type="dxa" w:w="5953"/>
          </w:tcPr>
          <w:p>
            <w:r>
              <w:rPr>
                <w:sz w:val="20"/>
              </w:rPr>
              <w:t>Auf Sperrkonto; nicht verarbeitet</w:t>
            </w:r>
          </w:p>
        </w:tc>
      </w:tr>
    </w:tbl>
    <w:p/>
    <w:p>
      <w:r>
        <w:rPr>
          <w:b/>
          <w:color w:val="1B474D"/>
          <w:sz w:val="28"/>
        </w:rPr>
        <w:t>3. Verdächtigte Personen und Unternehmen</w:t>
      </w:r>
    </w:p>
    <w:p>
      <w:pPr>
        <w:spacing w:before="80"/>
      </w:pPr>
      <w:r>
        <w:rPr>
          <w:b/>
        </w:rPr>
        <w:t>Person: Andrei Constantin Moldovan</w:t>
      </w:r>
    </w:p>
    <w:p>
      <w:pPr>
        <w:pStyle w:val="ListBullet"/>
      </w:pPr>
      <w:r>
        <w:rPr>
          <w:sz w:val="20"/>
        </w:rPr>
        <w:t>Geburtsdatum: 14.02.1971, Cluj-Napoca, Rumänien</w:t>
      </w:r>
    </w:p>
    <w:p>
      <w:pPr>
        <w:pStyle w:val="ListBullet"/>
      </w:pPr>
      <w:r>
        <w:rPr>
          <w:sz w:val="20"/>
        </w:rPr>
        <w:t>Funktion: Geschäftsführer Danube Trade Solutions SRL</w:t>
      </w:r>
    </w:p>
    <w:p>
      <w:pPr>
        <w:pStyle w:val="ListBullet"/>
      </w:pPr>
      <w:r>
        <w:rPr>
          <w:sz w:val="20"/>
        </w:rPr>
        <w:t>Ausweisdokument: Reisepass Nr. RX 3847291 (Rumänien)</w:t>
      </w:r>
    </w:p>
    <w:p>
      <w:pPr>
        <w:pStyle w:val="ListBullet"/>
      </w:pPr>
      <w:r>
        <w:rPr>
          <w:sz w:val="20"/>
        </w:rPr>
        <w:t>PEP-Status: Ungeklärt (Namensähnlichkeit zu ehem. Minister)</w:t>
      </w:r>
    </w:p>
    <w:p>
      <w:pPr>
        <w:spacing w:before="80"/>
      </w:pPr>
      <w:r>
        <w:rPr>
          <w:b/>
        </w:rPr>
        <w:t>Unternehmen: Danube Trade Solutions SRL</w:t>
      </w:r>
    </w:p>
    <w:p>
      <w:pPr>
        <w:pStyle w:val="ListBullet"/>
      </w:pPr>
      <w:r>
        <w:rPr>
          <w:sz w:val="20"/>
        </w:rPr>
        <w:t>Registerort: J40/12847/2019, Registrul Comerțului Bukarest</w:t>
      </w:r>
    </w:p>
    <w:p>
      <w:pPr>
        <w:pStyle w:val="ListBullet"/>
      </w:pPr>
      <w:r>
        <w:rPr>
          <w:sz w:val="20"/>
        </w:rPr>
        <w:t>Anschrift: Strada Buzești Nr. 74, Etaj 3, 011013 București, Rumänien</w:t>
      </w:r>
    </w:p>
    <w:p>
      <w:pPr>
        <w:pStyle w:val="ListBullet"/>
      </w:pPr>
      <w:r>
        <w:rPr>
          <w:sz w:val="20"/>
        </w:rPr>
        <w:t>Funktion: Vorgesehener Vertragspartner (Distributorvertrag)</w:t>
      </w:r>
    </w:p>
    <w:p>
      <w:pPr>
        <w:spacing w:before="80"/>
      </w:pPr>
      <w:r>
        <w:rPr>
          <w:b/>
        </w:rPr>
        <w:t>Unternehmen: Blue Harbor Holdings Ltd.</w:t>
      </w:r>
    </w:p>
    <w:p>
      <w:pPr>
        <w:pStyle w:val="ListBullet"/>
      </w:pPr>
      <w:r>
        <w:rPr>
          <w:sz w:val="20"/>
        </w:rPr>
        <w:t>Registerort: HE 387421, Registrar of Companies, Nikosia, Zypern</w:t>
      </w:r>
    </w:p>
    <w:p>
      <w:pPr>
        <w:pStyle w:val="ListBullet"/>
      </w:pPr>
      <w:r>
        <w:rPr>
          <w:sz w:val="20"/>
        </w:rPr>
        <w:t>Anschrift: 12 Demetriou Karatasou, Nikosia 2024, Zypern</w:t>
      </w:r>
    </w:p>
    <w:p>
      <w:pPr>
        <w:pStyle w:val="ListBullet"/>
      </w:pPr>
      <w:r>
        <w:rPr>
          <w:sz w:val="20"/>
        </w:rPr>
        <w:t>Funktion: 100 % Gesellschafter von Danube Trade Solutions SRL; natürlicher UBO unbekannt</w:t>
      </w:r>
    </w:p>
    <w:p>
      <w:pPr>
        <w:spacing w:before="80"/>
      </w:pPr>
      <w:r>
        <w:rPr>
          <w:b/>
        </w:rPr>
        <w:t>Unternehmen: Adriatic Commerce Ltd.</w:t>
      </w:r>
    </w:p>
    <w:p>
      <w:pPr>
        <w:pStyle w:val="ListBullet"/>
      </w:pPr>
      <w:r>
        <w:rPr>
          <w:sz w:val="20"/>
        </w:rPr>
        <w:t>Registerort: C 74891, MFSA Registry, Valletta, Malta</w:t>
      </w:r>
    </w:p>
    <w:p>
      <w:pPr>
        <w:pStyle w:val="ListBullet"/>
      </w:pPr>
      <w:r>
        <w:rPr>
          <w:sz w:val="20"/>
        </w:rPr>
        <w:t>Funktion: Drittzahler (187.500 EUR); Verbindung zu Danube Trade nicht belegt</w:t>
      </w:r>
    </w:p>
    <w:p/>
    <w:p>
      <w:r>
        <w:rPr>
          <w:b/>
          <w:color w:val="1B474D"/>
          <w:sz w:val="28"/>
        </w:rPr>
        <w:t>4. Sachverhalt und Verdachtsmomente</w:t>
      </w:r>
    </w:p>
    <w:p>
      <w:pPr>
        <w:spacing w:before="60"/>
      </w:pPr>
      <w:r>
        <w:rPr>
          <w:b/>
        </w:rPr>
        <w:t xml:space="preserve">VM 1 – Drittzahlung ohne Erklärung: </w:t>
      </w:r>
      <w:r>
        <w:rPr>
          <w:sz w:val="22"/>
        </w:rPr>
        <w:t>Am 28.04.2026 ging eine Vorauszahlung von 187.500 EUR von Adriatic Commerce Ltd. (Malta) ein, obwohl im Vertragsentwurf Danube Trade Solutions SRL als Vertragspartner genannt ist. Eine vertragliche Grundlage für die Drittzahlung fehlt.</w:t>
      </w:r>
    </w:p>
    <w:p>
      <w:pPr>
        <w:spacing w:before="60"/>
      </w:pPr>
      <w:r>
        <w:rPr>
          <w:b/>
        </w:rPr>
        <w:t xml:space="preserve">VM 2 – Ungeklärter wirtschaftlich Berechtigter (UBO): </w:t>
      </w:r>
      <w:r>
        <w:rPr>
          <w:sz w:val="22"/>
        </w:rPr>
        <w:t>Trotz zweier schriftlicher Anforderungen (16.04. und 08.05.2026) konnte keine natürliche Person als UBO hinter Blue Harbor Holdings Ltd. (Zypern) identifiziert werden. Nominee-Director-Struktur.</w:t>
      </w:r>
    </w:p>
    <w:p>
      <w:pPr>
        <w:spacing w:before="60"/>
      </w:pPr>
      <w:r>
        <w:rPr>
          <w:b/>
        </w:rPr>
        <w:t xml:space="preserve">VM 3 – PEP-Nähe des Geschäftsführers: </w:t>
      </w:r>
      <w:r>
        <w:rPr>
          <w:sz w:val="22"/>
        </w:rPr>
        <w:t>Screening-Treffer Andrei Moldovan: Namensähnlichkeit zu ehem. stellv. rumänischem Wirtschaftsminister. Geburtstagabweichung 2 Jahre; Identitätsfeststellung nicht abgeschlossen.</w:t>
      </w:r>
    </w:p>
    <w:p>
      <w:pPr>
        <w:spacing w:before="60"/>
      </w:pPr>
      <w:r>
        <w:rPr>
          <w:b/>
        </w:rPr>
        <w:t xml:space="preserve">VM 4 – Fehlende wirtschaftliche Substanz: </w:t>
      </w:r>
      <w:r>
        <w:rPr>
          <w:sz w:val="22"/>
        </w:rPr>
        <w:t>Stammkapital 200 RON (ca. 40 EUR); keine Jahresabschlüsse seit 2021; erwartetes Volumen 2,4 Mio. EUR p.a. nicht plausibel.</w:t>
      </w:r>
    </w:p>
    <w:p>
      <w:pPr>
        <w:spacing w:before="60"/>
      </w:pPr>
      <w:r>
        <w:rPr>
          <w:b/>
        </w:rPr>
        <w:t xml:space="preserve">VM 5 – Zeitdruck: </w:t>
      </w:r>
      <w:r>
        <w:rPr>
          <w:sz w:val="22"/>
        </w:rPr>
        <w:t>Vertriebsseite drängte wiederholt auf beschleunigte Freigabe trotz offener KYC-Prüfung.</w:t>
      </w:r>
    </w:p>
    <w:p>
      <w:pPr>
        <w:spacing w:before="60"/>
      </w:pPr>
      <w:r>
        <w:rPr>
          <w:b/>
        </w:rPr>
        <w:t xml:space="preserve">VM 6 – Geografische Häufung Hochrisikojurisdiktionen: </w:t>
      </w:r>
      <w:r>
        <w:rPr>
          <w:sz w:val="22"/>
        </w:rPr>
        <w:t>Rumänien (Mittel) + Zypern + Malta (Hoch) + unklarer UBO = typisches Layering-Erscheinungsbild.</w:t>
      </w:r>
    </w:p>
    <w:p/>
    <w:p>
      <w:r>
        <w:rPr>
          <w:b/>
          <w:color w:val="1B474D"/>
          <w:sz w:val="28"/>
        </w:rPr>
        <w:t>5. Bisherige Maßnahmen</w:t>
      </w:r>
    </w:p>
    <w:tbl>
      <w:tblPr>
        <w:tblStyle w:val="TableGrid"/>
        <w:tblW w:type="auto" w:w="0"/>
        <w:tblLook w:firstColumn="1" w:firstRow="1" w:lastColumn="0" w:lastRow="0" w:noHBand="0" w:noVBand="1" w:val="04A0"/>
      </w:tblPr>
      <w:tblGrid>
        <w:gridCol w:w="4320"/>
        <w:gridCol w:w="4320"/>
      </w:tblGrid>
      <w:tr>
        <w:tc>
          <w:tcPr>
            <w:tcW w:type="dxa" w:w="1984"/>
          </w:tcPr>
          <w:p>
            <w:pPr>
              <w:jc w:val="left"/>
            </w:pPr>
            <w:r>
              <w:rPr>
                <w:b/>
                <w:sz w:val="20"/>
              </w:rPr>
              <w:t>Datum</w:t>
            </w:r>
          </w:p>
        </w:tc>
        <w:tc>
          <w:tcPr>
            <w:tcW w:type="dxa" w:w="7087"/>
          </w:tcPr>
          <w:p>
            <w:pPr>
              <w:jc w:val="left"/>
            </w:pPr>
            <w:r>
              <w:rPr>
                <w:b/>
                <w:sz w:val="20"/>
              </w:rPr>
              <w:t>Maßnahme</w:t>
            </w:r>
          </w:p>
        </w:tc>
      </w:tr>
      <w:tr>
        <w:tc>
          <w:tcPr>
            <w:tcW w:type="dxa" w:w="1984"/>
          </w:tcPr>
          <w:p>
            <w:r>
              <w:rPr>
                <w:sz w:val="20"/>
              </w:rPr>
              <w:t>14.04.2026</w:t>
            </w:r>
          </w:p>
        </w:tc>
        <w:tc>
          <w:tcPr>
            <w:tcW w:type="dxa" w:w="7087"/>
          </w:tcPr>
          <w:p>
            <w:r>
              <w:rPr>
                <w:sz w:val="20"/>
              </w:rPr>
              <w:t>KYC-Verfahren eingeleitet</w:t>
            </w:r>
          </w:p>
        </w:tc>
      </w:tr>
      <w:tr>
        <w:tc>
          <w:tcPr>
            <w:tcW w:type="dxa" w:w="1984"/>
          </w:tcPr>
          <w:p>
            <w:r>
              <w:rPr>
                <w:sz w:val="20"/>
              </w:rPr>
              <w:t>22.04.2026</w:t>
            </w:r>
          </w:p>
        </w:tc>
        <w:tc>
          <w:tcPr>
            <w:tcW w:type="dxa" w:w="7087"/>
          </w:tcPr>
          <w:p>
            <w:r>
              <w:rPr>
                <w:sz w:val="20"/>
              </w:rPr>
              <w:t>Screening-Treffer Andrei Moldovan (PEP)</w:t>
            </w:r>
          </w:p>
        </w:tc>
      </w:tr>
      <w:tr>
        <w:tc>
          <w:tcPr>
            <w:tcW w:type="dxa" w:w="1984"/>
          </w:tcPr>
          <w:p>
            <w:r>
              <w:rPr>
                <w:sz w:val="20"/>
              </w:rPr>
              <w:t>28.04.2026</w:t>
            </w:r>
          </w:p>
        </w:tc>
        <w:tc>
          <w:tcPr>
            <w:tcW w:type="dxa" w:w="7087"/>
          </w:tcPr>
          <w:p>
            <w:r>
              <w:rPr>
                <w:sz w:val="20"/>
              </w:rPr>
              <w:t>Drittzahlungs-Alert; Transaktionsstopp</w:t>
            </w:r>
          </w:p>
        </w:tc>
      </w:tr>
      <w:tr>
        <w:tc>
          <w:tcPr>
            <w:tcW w:type="dxa" w:w="1984"/>
          </w:tcPr>
          <w:p>
            <w:r>
              <w:rPr>
                <w:sz w:val="20"/>
              </w:rPr>
              <w:t>05.05.2026</w:t>
            </w:r>
          </w:p>
        </w:tc>
        <w:tc>
          <w:tcPr>
            <w:tcW w:type="dxa" w:w="7087"/>
          </w:tcPr>
          <w:p>
            <w:r>
              <w:rPr>
                <w:sz w:val="20"/>
              </w:rPr>
              <w:t>Mandatsgespräch RA Dr. Heller</w:t>
            </w:r>
          </w:p>
        </w:tc>
      </w:tr>
      <w:tr>
        <w:tc>
          <w:tcPr>
            <w:tcW w:type="dxa" w:w="1984"/>
          </w:tcPr>
          <w:p>
            <w:r>
              <w:rPr>
                <w:sz w:val="20"/>
              </w:rPr>
              <w:t>15.05.2026</w:t>
            </w:r>
          </w:p>
        </w:tc>
        <w:tc>
          <w:tcPr>
            <w:tcW w:type="dxa" w:w="7087"/>
          </w:tcPr>
          <w:p>
            <w:r>
              <w:rPr>
                <w:sz w:val="20"/>
              </w:rPr>
              <w:t>Risikoanalyse aktualisiert</w:t>
            </w:r>
          </w:p>
        </w:tc>
      </w:tr>
      <w:tr>
        <w:tc>
          <w:tcPr>
            <w:tcW w:type="dxa" w:w="1984"/>
          </w:tcPr>
          <w:p>
            <w:r>
              <w:rPr>
                <w:sz w:val="20"/>
              </w:rPr>
              <w:t>16.05.2026</w:t>
            </w:r>
          </w:p>
        </w:tc>
        <w:tc>
          <w:tcPr>
            <w:tcW w:type="dxa" w:w="7087"/>
          </w:tcPr>
          <w:p>
            <w:r>
              <w:rPr>
                <w:sz w:val="20"/>
              </w:rPr>
              <w:t>Mittelherkunftsanforderung an Danube Trade</w:t>
            </w:r>
          </w:p>
        </w:tc>
      </w:tr>
      <w:tr>
        <w:tc>
          <w:tcPr>
            <w:tcW w:type="dxa" w:w="1984"/>
          </w:tcPr>
          <w:p>
            <w:r>
              <w:rPr>
                <w:sz w:val="20"/>
              </w:rPr>
              <w:t>19.05.2026</w:t>
            </w:r>
          </w:p>
        </w:tc>
        <w:tc>
          <w:tcPr>
            <w:tcW w:type="dxa" w:w="7087"/>
          </w:tcPr>
          <w:p>
            <w:r>
              <w:rPr>
                <w:sz w:val="20"/>
              </w:rPr>
              <w:t>Verdachtsmeldung via goAML eingereicht</w:t>
            </w:r>
          </w:p>
        </w:tc>
      </w:tr>
    </w:tbl>
    <w:p/>
    <w:p>
      <w:r>
        <w:rPr>
          <w:b/>
          <w:color w:val="1B474D"/>
          <w:sz w:val="28"/>
        </w:rPr>
        <w:t>6. Erklärung des Geldwäschebeauftragten</w:t>
      </w:r>
    </w:p>
    <w:p>
      <w:r>
        <w:t>Hiermit erkläre ich, Thomas Eckhardt, als bestellter Geldwäschebeauftragter der Musterholding GmbH, dass die vorstehenden Angaben nach bestem Wissen und Gewissen vollständig und wahrheitsgemäß sind. Die Verdachtsmeldung wird auf Grundlage von § 43 Abs. 1 GwG erstattet. Mir ist bekannt, dass eine gutgläubig abgegebene Verdachtsmeldung nach § 48 GwG keine Haftung des Meldenden begründet.</w:t>
      </w:r>
    </w:p>
    <w:p/>
    <w:p>
      <w:r>
        <w:t>Frankfurt am Main, 19. Mai 2026</w:t>
        <w:br/>
        <w:br/>
      </w:r>
      <w:r>
        <w:rPr>
          <w:b/>
        </w:rPr>
        <w:t>Thomas Eckhardt</w:t>
        <w:br/>
        <w:t>Geldwäschebeauftragter</w:t>
        <w:br/>
        <w:t>Musterholding GmbH</w:t>
      </w:r>
    </w:p>
    <w:sectPr w:rsidR="00FC693F" w:rsidRPr="0006063C" w:rsidSect="00034616">
      <w:head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7A7974"/>
        <w:sz w:val="18"/>
      </w:rPr>
      <w:t>Az. 2026/AML/047-MH | VM-MH-2026-0041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