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B474D"/>
          <w:sz w:val="28"/>
        </w:rPr>
        <w:t>Kanzlei Heller &amp; Schoenfeld</w:t>
        <w:br/>
      </w:r>
      <w:r>
        <w:rPr>
          <w:sz w:val="20"/>
        </w:rPr>
        <w:t>Rechtsanwältinnen</w:t>
        <w:br/>
        <w:t>Taunusanlage 8 · 60329 Frankfurt am Main</w:t>
        <w:br/>
      </w:r>
      <w:r>
        <w:rPr>
          <w:sz w:val="20"/>
        </w:rPr>
        <w:t>Tel: +49 69 921 083 0 · kanzlei@heller-schoenfeld.de</w:t>
      </w:r>
    </w:p>
    <w:p/>
    <w:p>
      <w:r>
        <w:rPr>
          <w:b/>
        </w:rPr>
        <w:t>Regierungspräsidium Darmstadt</w:t>
        <w:br/>
      </w:r>
      <w:r>
        <w:t>Referat IV/AML – Geldwäscheaufsicht Güterhändler</w:t>
        <w:br/>
        <w:t>Wilhelminenstraße 1–3</w:t>
        <w:br/>
        <w:t>64283 Darmstadt</w:t>
      </w:r>
    </w:p>
    <w:p/>
    <w:p>
      <w:pPr>
        <w:jc w:val="right"/>
      </w:pPr>
      <w:r>
        <w:t>Frankfurt am Main, 02. Juni 2026</w:t>
      </w:r>
    </w:p>
    <w:p/>
    <w:p>
      <w:r>
        <w:rPr>
          <w:b/>
          <w:color w:val="1B474D"/>
          <w:sz w:val="22"/>
        </w:rPr>
        <w:t>Antwort auf Ihr Auskunftsersuchen vom 12.05.2026</w:t>
        <w:br/>
        <w:t>Az. RP-DA/IV-AML/2026/1847-MH | Unser Zeichen: 2026/AML/047-MH</w:t>
      </w:r>
    </w:p>
    <w:p/>
    <w:p>
      <w:r>
        <w:t>Sehr geehrte Damen und Herren,</w:t>
      </w:r>
    </w:p>
    <w:p/>
    <w:p>
      <w:r>
        <w:t>wir zeigen an, die Musterholding GmbH, Gutleutstraße 44, 60329 Frankfurt am Main, anwaltlich zu vertreten. Mit Schreiben vom 12.05.2026, Az. RP-DA/IV-AML/2026/1847-MH, haben Sie gemäß § 51 Abs. 1 GwG folgende Unterlagen angefordert. Wir antworten vollumfänglich:</w:t>
      </w:r>
    </w:p>
    <w:p/>
    <w:p>
      <w:pPr>
        <w:spacing w:before="120"/>
      </w:pPr>
      <w:r>
        <w:rPr>
          <w:b/>
        </w:rPr>
        <w:t>1. Risikoanalyse gem. § 5 GwG</w:t>
      </w:r>
    </w:p>
    <w:p>
      <w:pPr>
        <w:spacing w:after="60"/>
      </w:pPr>
      <w:r>
        <w:t>Die Risikoanalyse der Musterholding GmbH wurde am 15.05.2026 vollständig überarbeitet (Dok.-Nr. RA-MH-2026-02) und durch die Geschäftsführung genehmigt. Sie umfasst alle Geschäftsbereiche, eine 15-Felder-Risikomatrix, einen Sonderabschnitt zum Hochrisikofall Danube Trade Solutions SRL sowie einen Maßnahmenplan. Beigefügt als Anlage 2.</w:t>
      </w:r>
    </w:p>
    <w:p>
      <w:pPr>
        <w:spacing w:before="120"/>
      </w:pPr>
      <w:r>
        <w:rPr>
          <w:b/>
        </w:rPr>
        <w:t>2. Bestellung des Geldwäschebeauftragten (§ 7 GwG)</w:t>
      </w:r>
    </w:p>
    <w:p>
      <w:pPr>
        <w:spacing w:after="60"/>
      </w:pPr>
      <w:r>
        <w:t>Herr Thomas Eckhardt ist seit 01.09.2023 als Geldwäschebeauftragter bestellt. Bestellungsurkunde und Qualifikationsnachweise (ACAMS, BaFin-Sachkundeprüfung 2023) als Anlagen 3 und 4.</w:t>
      </w:r>
    </w:p>
    <w:p>
      <w:pPr>
        <w:spacing w:before="120"/>
      </w:pPr>
      <w:r>
        <w:rPr>
          <w:b/>
        </w:rPr>
        <w:t>3. Schulungsnachweise (§ 6 Abs. 2 Nr. 6 GwG)</w:t>
      </w:r>
    </w:p>
    <w:p>
      <w:pPr>
        <w:spacing w:after="60"/>
      </w:pPr>
      <w:r>
        <w:t>Im Zeitraum 01.06.2024 bis 26.05.2026 wurden vier Schulungsmaßnahmen durchgeführt (06/2024 E-Learning 87 TN; 11/2024 PEP-Workshop 14 TN; 02/2025 TM-Schulung 8 TN; 05/2026 Refresher 42 TN). Teilnehmerlisten als Anlagen 5a–5d. Defizite 2022/2023 wurden intern identifiziert und im RP-Darmstadt-Antwortschreiben transparent kommuniziert.</w:t>
      </w:r>
    </w:p>
    <w:p>
      <w:pPr>
        <w:spacing w:before="120"/>
      </w:pPr>
      <w:r>
        <w:rPr>
          <w:b/>
        </w:rPr>
        <w:t>4. KYC-Unterlagen Hochrisikokunden</w:t>
      </w:r>
    </w:p>
    <w:p>
      <w:pPr>
        <w:spacing w:after="60"/>
      </w:pPr>
      <w:r>
        <w:t>Zu Danube Trade Solutions SRL (Kunde A) wurde am 19.05.2026 eine Verdachtsmeldung (VM-MH-2026-0041) an die FIU erstattet. Sämtliche KYC-Unterlagen als Anlage 6. KYC-Pakete Baltic Engineering Group UAB (Anlage 7) und Mena Industrial Supplies LLC (Anlage 8) sind vollständig und auf aktuellem Stand.</w:t>
      </w:r>
    </w:p>
    <w:p>
      <w:pPr>
        <w:spacing w:before="120"/>
      </w:pPr>
      <w:r>
        <w:rPr>
          <w:b/>
        </w:rPr>
        <w:t>5. Sanktionsscreening-Protokolle (05/2025–05/2026)</w:t>
      </w:r>
    </w:p>
    <w:p>
      <w:pPr>
        <w:spacing w:after="60"/>
      </w:pPr>
      <w:r>
        <w:t>Die Screening-Protokolle (täglicher World-Check-Abgleich, 10 Treffer im Berichtszeitraum) werden als Anlage 9 übermittelt. Ein Dokumentationsdefizit bei der Vier-Augen-Freigabe (False Positive Blue Harbor Holdings Ltd.) wurde im Audit-Memo vom 28.05.2026 identifiziert und rückwirkend behoben. Korrekturprotokoll als Teil von Anlage 9.</w:t>
      </w:r>
    </w:p>
    <w:p/>
    <w:p>
      <w:r>
        <w:rPr>
          <w:b/>
        </w:rPr>
        <w:t>Ergänzende Mitteilungen</w:t>
      </w:r>
    </w:p>
    <w:p>
      <w:r>
        <w:t>Am 10.05.2026 wurde eine Unstimmigkeitsmeldung nach § 23a GwG für die Musterholding Immobilien GmbH eingereicht (Differenz Transparenzregistereintrag vs. tatsächliche Eigentümerstruktur). Der Korrekturantrag beim Transparenzregister befindet sich in Bearbeitung (Notartermin 19.05.2026, Einreichung bis 22.05.2026 geplant).</w:t>
        <w:br/>
        <w:br/>
        <w:t>Auf Basis des internen Audit-Memos vom 28.05.2026 wurden fünf Defizite identifiziert; Abhilfemaßnahmen sind beschlossen (Anlage 10) und werden bis 30.06.2026 umgesetzt.</w:t>
      </w:r>
    </w:p>
    <w:p/>
    <w:p>
      <w:r>
        <w:t>Die Musterholding GmbH hat alle angeforderten Unterlagen vollständig vorgelegt und steht für Rückfragen jederzeit zur Verfügung.</w:t>
      </w:r>
    </w:p>
    <w:p/>
    <w:p>
      <w:r>
        <w:t>Mit freundlichen Grüßen</w:t>
      </w:r>
    </w:p>
    <w:p/>
    <w:p>
      <w:r>
        <w:rPr>
          <w:b/>
        </w:rPr>
        <w:t>RA Dr. Franziska Heller</w:t>
        <w:br/>
        <w:t>Kanzlei Heller &amp; Schoenfeld</w:t>
        <w:br/>
        <w:t>Im Auftrag der Musterholding GmbH</w:t>
      </w:r>
    </w:p>
    <w:p/>
    <w:p>
      <w:r>
        <w:rPr>
          <w:b/>
        </w:rPr>
        <w:t>Anlagenverzeichnis:</w:t>
      </w:r>
    </w:p>
    <w:p>
      <w:pPr>
        <w:pStyle w:val="ListBullet"/>
      </w:pPr>
      <w:r>
        <w:rPr>
          <w:sz w:val="20"/>
        </w:rPr>
        <w:t>Anlage 1: Vollmacht RA Dr. Heller</w:t>
      </w:r>
    </w:p>
    <w:p>
      <w:pPr>
        <w:pStyle w:val="ListBullet"/>
      </w:pPr>
      <w:r>
        <w:rPr>
          <w:sz w:val="20"/>
        </w:rPr>
        <w:t>Anlage 2: Risikoanalyse RA-MH-2026-02 (15.05.2026)</w:t>
      </w:r>
    </w:p>
    <w:p>
      <w:pPr>
        <w:pStyle w:val="ListBullet"/>
      </w:pPr>
      <w:r>
        <w:rPr>
          <w:sz w:val="20"/>
        </w:rPr>
        <w:t>Anlage 3: Bestellungsurkunde GwB Thomas Eckhardt</w:t>
      </w:r>
    </w:p>
    <w:p>
      <w:pPr>
        <w:pStyle w:val="ListBullet"/>
      </w:pPr>
      <w:r>
        <w:rPr>
          <w:sz w:val="20"/>
        </w:rPr>
        <w:t>Anlage 4: Qualifikationsnachweise Thomas Eckhardt</w:t>
      </w:r>
    </w:p>
    <w:p>
      <w:pPr>
        <w:pStyle w:val="ListBullet"/>
      </w:pPr>
      <w:r>
        <w:rPr>
          <w:sz w:val="20"/>
        </w:rPr>
        <w:t>Anlage 5a–5d: Schulungsprotokolle und Teilnehmerlisten 2024–2026</w:t>
      </w:r>
    </w:p>
    <w:p>
      <w:pPr>
        <w:pStyle w:val="ListBullet"/>
      </w:pPr>
      <w:r>
        <w:rPr>
          <w:sz w:val="20"/>
        </w:rPr>
        <w:t>Anlage 6: KYC-Paket Danube Trade Solutions SRL inkl. VM-MH-2026-0041</w:t>
      </w:r>
    </w:p>
    <w:p>
      <w:pPr>
        <w:pStyle w:val="ListBullet"/>
      </w:pPr>
      <w:r>
        <w:rPr>
          <w:sz w:val="20"/>
        </w:rPr>
        <w:t>Anlage 7: KYC-Unterlagen Baltic Engineering Group UAB</w:t>
      </w:r>
    </w:p>
    <w:p>
      <w:pPr>
        <w:pStyle w:val="ListBullet"/>
      </w:pPr>
      <w:r>
        <w:rPr>
          <w:sz w:val="20"/>
        </w:rPr>
        <w:t>Anlage 8: KYC-Unterlagen Mena Industrial Supplies LLC</w:t>
      </w:r>
    </w:p>
    <w:p>
      <w:pPr>
        <w:pStyle w:val="ListBullet"/>
      </w:pPr>
      <w:r>
        <w:rPr>
          <w:sz w:val="20"/>
        </w:rPr>
        <w:t>Anlage 9: Sanktionsscreening-Protokolle 05/2025–05/2026</w:t>
      </w:r>
    </w:p>
    <w:p>
      <w:pPr>
        <w:pStyle w:val="ListBullet"/>
      </w:pPr>
      <w:r>
        <w:rPr>
          <w:sz w:val="20"/>
        </w:rPr>
        <w:t>Anlage 10: Internes Audit-Memo 28.05.2026 inkl. Maßnahmenplan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7A7974"/>
        <w:sz w:val="18"/>
      </w:rPr>
      <w:t>Az. 2026/AML/047-MH | RP-DA/IV-AML/2026/1847-MH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