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right"/>
      </w:pPr>
      <w:r>
        <w:rPr>
          <w:rFonts w:ascii="Calibri" w:hAnsi="Calibri"/>
          <w:b w:val="0"/>
          <w:i/>
          <w:color w:val="808080"/>
          <w:sz w:val="18"/>
        </w:rPr>
        <w:t>MWK/2024/SIL-001  |  STRENG VERTRAULICH</w:t>
      </w:r>
    </w:p>
    <w:p>
      <w:pPr>
        <w:pStyle w:val="Heading1"/>
      </w:pPr>
      <w:r>
        <w:rPr>
          <w:rFonts w:ascii="Calibri" w:hAnsi="Calibri"/>
          <w:sz w:val="28"/>
        </w:rPr>
        <w:t>Virtual Data Room — Index Phase 2</w:t>
      </w:r>
    </w:p>
    <w:p>
      <w:r>
        <w:rPr>
          <w:rFonts w:ascii="Calibri" w:hAnsi="Calibri"/>
          <w:b w:val="0"/>
          <w:i/>
          <w:sz w:val="20"/>
        </w:rPr>
        <w:t>Projekt Silberfalke  |  Zielgesellschaft: Solaris Industries AG  |  Stand: 28. November 2024</w:t>
      </w:r>
    </w:p>
    <w:p>
      <w:r>
        <w:rPr>
          <w:rFonts w:ascii="Calibri" w:hAnsi="Calibri"/>
          <w:b w:val="0"/>
          <w:i w:val="0"/>
          <w:sz w:val="20"/>
        </w:rPr>
        <w:t>Plattform: Intralinks VDRPro  |  Zugang: Eagle Capital Partners Deal Team + Berater</w:t>
      </w:r>
    </w:p>
    <w:p>
      <w:pPr>
        <w:spacing w:after="40"/>
        <w:pBdr>
          <w:bottom w:val="single" w:sz="6" w:space="1" w:color="4472C4"/>
        </w:pBdr>
      </w:pPr>
    </w:p>
    <w:p/>
    <w:p>
      <w:pPr>
        <w:pStyle w:val="Heading2"/>
      </w:pPr>
      <w:r>
        <w:rPr>
          <w:rFonts w:ascii="Calibri" w:hAnsi="Calibri"/>
          <w:sz w:val="24"/>
        </w:rPr>
        <w:t>Legende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44"/>
        <w:gridCol w:w="4844"/>
      </w:tblGrid>
      <w:tr>
        <w:tc>
          <w:tcPr>
            <w:tcW w:type="dxa" w:w="4844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Kürzel</w:t>
            </w:r>
          </w:p>
        </w:tc>
        <w:tc>
          <w:tcPr>
            <w:tcW w:type="dxa" w:w="4844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Bedeutung</w:t>
            </w:r>
          </w:p>
        </w:tc>
      </w:tr>
      <w:tr>
        <w:tc>
          <w:tcPr>
            <w:tcW w:type="dxa" w:w="4844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CR</w:t>
            </w:r>
          </w:p>
        </w:tc>
        <w:tc>
          <w:tcPr>
            <w:tcW w:type="dxa" w:w="4844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Nur im Clean Room verfügbar (separate Zugangsberechtigung erforderlich)</w:t>
            </w:r>
          </w:p>
        </w:tc>
      </w:tr>
      <w:tr>
        <w:tc>
          <w:tcPr>
            <w:tcW w:type="dxa" w:w="4844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FEHLT</w:t>
            </w:r>
          </w:p>
        </w:tc>
        <w:tc>
          <w:tcPr>
            <w:tcW w:type="dxa" w:w="4844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Dokument laut VDR-Index erwartet, aber nicht hochgeladen</w:t>
            </w:r>
          </w:p>
        </w:tc>
      </w:tr>
      <w:tr>
        <w:tc>
          <w:tcPr>
            <w:tcW w:type="dxa" w:w="4844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UNVOLL.</w:t>
            </w:r>
          </w:p>
        </w:tc>
        <w:tc>
          <w:tcPr>
            <w:tcW w:type="dxa" w:w="4844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Dokument hochgeladen, aber unvollständig (Anlagen fehlen o.ä.)</w:t>
            </w:r>
          </w:p>
        </w:tc>
      </w:tr>
      <w:tr>
        <w:tc>
          <w:tcPr>
            <w:tcW w:type="dxa" w:w="4844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4844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Dokument vollständig und geprüft</w:t>
            </w:r>
          </w:p>
        </w:tc>
      </w:tr>
      <w:tr>
        <w:tc>
          <w:tcPr>
            <w:tcW w:type="dxa" w:w="4844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VERALTET</w:t>
            </w:r>
          </w:p>
        </w:tc>
        <w:tc>
          <w:tcPr>
            <w:tcW w:type="dxa" w:w="4844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Ältere Version vorhanden; aktuelle Version fehlt</w:t>
            </w:r>
          </w:p>
        </w:tc>
      </w:tr>
    </w:tbl>
    <w:p/>
    <w:p>
      <w:pPr>
        <w:pStyle w:val="Heading2"/>
      </w:pPr>
      <w:r>
        <w:rPr>
          <w:rFonts w:ascii="Calibri" w:hAnsi="Calibri"/>
          <w:sz w:val="24"/>
        </w:rPr>
        <w:t>Kapitel 01 — Corporate / Gesellschaft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38"/>
        <w:gridCol w:w="1938"/>
        <w:gridCol w:w="1938"/>
        <w:gridCol w:w="1938"/>
        <w:gridCol w:w="1938"/>
      </w:tblGrid>
      <w:tr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VDR-ID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Dokumenttitel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Typ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Status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Gap-Ref.</w:t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1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HRB-Auszug Solaris Industries AG (2024)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Register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2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Gesellschafterliste 2022 (notariell)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Corporate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VERALTET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G-001</w:t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3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Satzung Solaris Industries AG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Corporate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4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AR-Protokoll Q3 2024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Corporate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5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UBO Stamm I Grünwald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Corporate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6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UBO Stamm II Grünwald-Konrad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Corporate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FEHLT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G-002</w:t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7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Ausgliederungsvertrag Service GmbH (Entwurf)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Corporate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FEHLT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G-005</w:t>
            </w:r>
          </w:p>
        </w:tc>
      </w:tr>
    </w:tbl>
    <w:p/>
    <w:p>
      <w:pPr>
        <w:pStyle w:val="Heading2"/>
      </w:pPr>
      <w:r>
        <w:rPr>
          <w:rFonts w:ascii="Calibri" w:hAnsi="Calibri"/>
          <w:sz w:val="24"/>
        </w:rPr>
        <w:t>Kapitel 02 — Finanzen / Jahresabschlüsse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38"/>
        <w:gridCol w:w="1938"/>
        <w:gridCol w:w="1938"/>
        <w:gridCol w:w="1938"/>
        <w:gridCol w:w="1938"/>
      </w:tblGrid>
      <w:tr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VDR-ID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Dokumenttitel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Typ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Status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Gap-Ref.</w:t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8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Jahresabschluss 2022 (geprüft)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Financial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9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Jahresabschluss 2021 (geprüft)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Financial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10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Jahresabschluss 2023 (geprüft)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Financial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FEHLT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G-006</w:t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11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BWA 2024 YTD (Jan–Sep)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Financial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12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Treasury Policy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Financial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</w:tbl>
    <w:p/>
    <w:p>
      <w:pPr>
        <w:pStyle w:val="Heading2"/>
      </w:pPr>
      <w:r>
        <w:rPr>
          <w:rFonts w:ascii="Calibri" w:hAnsi="Calibri"/>
          <w:sz w:val="24"/>
        </w:rPr>
        <w:t>Kapitel 03 — Commercial / Verträge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38"/>
        <w:gridCol w:w="1938"/>
        <w:gridCol w:w="1938"/>
        <w:gridCol w:w="1938"/>
        <w:gridCol w:w="1938"/>
      </w:tblGrid>
      <w:tr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VDR-ID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Dokumenttitel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Typ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Status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Gap-Ref.</w:t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13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Rahmenvertrag C-001 Kunde A (Head Sheet)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Commercial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UNVOLL.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G-003</w:t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14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Rahmenvertrag C-001 Kunde A (Anlagen)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Commercial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FEHLT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G-003</w:t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15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Rahmenvertrag C-002 Kunde B (komplett)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Commercial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16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Rahmenvertrag C-003 Kunde C (komplett)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Commercial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17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Kundenliste Top-20 (Excel)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Commercial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18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Mustervertrag S-Care Servicevertrag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Commercial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</w:tbl>
    <w:p/>
    <w:p>
      <w:pPr>
        <w:pStyle w:val="Heading2"/>
      </w:pPr>
      <w:r>
        <w:rPr>
          <w:rFonts w:ascii="Calibri" w:hAnsi="Calibri"/>
          <w:sz w:val="24"/>
        </w:rPr>
        <w:t>Kapitel 04 — Steuern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38"/>
        <w:gridCol w:w="1938"/>
        <w:gridCol w:w="1938"/>
        <w:gridCol w:w="1938"/>
        <w:gridCol w:w="1938"/>
      </w:tblGrid>
      <w:tr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VDR-ID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Dokumenttitel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Typ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Status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Gap-Ref.</w:t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19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Steuerbescheid 2022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Tax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20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Steuerbescheid 2023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Tax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FEHLT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G-010</w:t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21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Steuerbescheid 2020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Tax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FEHLT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G-010</w:t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22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Umwandlungsvertrag 2024 (Verschmelzung)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Tax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</w:tbl>
    <w:p/>
    <w:p>
      <w:pPr>
        <w:pStyle w:val="Heading2"/>
      </w:pPr>
      <w:r>
        <w:rPr>
          <w:rFonts w:ascii="Calibri" w:hAnsi="Calibri"/>
          <w:sz w:val="24"/>
        </w:rPr>
        <w:t>Kapitel 05 — Regulatory / Exportkontrolle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38"/>
        <w:gridCol w:w="1938"/>
        <w:gridCol w:w="1938"/>
        <w:gridCol w:w="1938"/>
        <w:gridCol w:w="1938"/>
      </w:tblGrid>
      <w:tr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VDR-ID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Dokumenttitel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Typ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Status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Gap-Ref.</w:t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23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Exportkontrollklassifizierung PDS-500 (CR)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Regulatory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 (CR)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24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BAFA-Voranfrage 2023 (CR)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Regulatory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 (CR)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25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Exportgenehmigung 2022 (CR)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Regulatory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FEHLT (CR)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G-008</w:t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26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BAFA-Gutachten Dual-Use 2024 (CR)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Regulatory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 (CR)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</w:tbl>
    <w:p/>
    <w:p>
      <w:pPr>
        <w:pStyle w:val="Heading2"/>
      </w:pPr>
      <w:r>
        <w:rPr>
          <w:rFonts w:ascii="Calibri" w:hAnsi="Calibri"/>
          <w:sz w:val="24"/>
        </w:rPr>
        <w:t>Kapitel 06 — Intellectual Property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38"/>
        <w:gridCol w:w="1938"/>
        <w:gridCol w:w="1938"/>
        <w:gridCol w:w="1938"/>
        <w:gridCol w:w="1938"/>
      </w:tblGrid>
      <w:tr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VDR-ID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Dokumenttitel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Typ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Status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Gap-Ref.</w:t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27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Patentliste DPMA (Excel, Stand 2024)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IP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28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Europäische Patente — Zertifikate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IP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29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IP-Abtretungsvertrag Grünwald 2018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IP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FEHLT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G-004</w:t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30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Markeneintragung PDS-GreenDrive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IP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31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Markeneintragung S-Care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IP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</w:tbl>
    <w:p/>
    <w:p>
      <w:pPr>
        <w:pStyle w:val="Heading2"/>
      </w:pPr>
      <w:r>
        <w:rPr>
          <w:rFonts w:ascii="Calibri" w:hAnsi="Calibri"/>
          <w:sz w:val="24"/>
        </w:rPr>
        <w:t>Kapitel 07 — Employment / Personal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38"/>
        <w:gridCol w:w="1938"/>
        <w:gridCol w:w="1938"/>
        <w:gridCol w:w="1938"/>
        <w:gridCol w:w="1938"/>
      </w:tblGrid>
      <w:tr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VDR-ID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Dokumenttitel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Typ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Status</w:t>
            </w:r>
          </w:p>
        </w:tc>
        <w:tc>
          <w:tcPr>
            <w:tcW w:type="dxa" w:w="1938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Gap-Ref.</w:t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32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Organigramm 2024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Employment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FEHLT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G-018</w:t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33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Betriebsvereinbarung 1 (Arbeitszeit)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Employment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34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Betriebsvereinbarung 2 (Homeoffice)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Employment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35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Betriebsvereinbarung 3 (Entgelt)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Employment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36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Betriebsvereinbarungen 4–7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Employment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FEHLT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G-012</w:t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37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Anstellungsvertrag CEO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Employment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  <w:tr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38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Anstellungsvertrag CFO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Employment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OK</w:t>
            </w:r>
          </w:p>
        </w:tc>
        <w:tc>
          <w:tcPr>
            <w:tcW w:type="dxa" w:w="1938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</w:r>
          </w:p>
        </w:tc>
      </w:tr>
    </w:tbl>
    <w:p/>
    <w:p>
      <w:pPr>
        <w:pStyle w:val="Heading2"/>
      </w:pPr>
      <w:r>
        <w:rPr>
          <w:rFonts w:ascii="Calibri" w:hAnsi="Calibri"/>
          <w:sz w:val="24"/>
        </w:rPr>
        <w:t>Gesamtübersicht Vollständigkeit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3230"/>
        <w:gridCol w:w="3230"/>
        <w:gridCol w:w="3230"/>
      </w:tblGrid>
      <w:tr>
        <w:tc>
          <w:tcPr>
            <w:tcW w:type="dxa" w:w="3230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Kapitel</w:t>
            </w:r>
          </w:p>
        </w:tc>
        <w:tc>
          <w:tcPr>
            <w:tcW w:type="dxa" w:w="3230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Vollständigkeit (%)</w:t>
            </w:r>
          </w:p>
        </w:tc>
        <w:tc>
          <w:tcPr>
            <w:tcW w:type="dxa" w:w="3230"/>
            <w:shd w:val="clear" w:color="auto" w:fill="4472C4"/>
          </w:tcPr>
          <w:p>
            <w:r/>
            <w:r>
              <w:rPr>
                <w:rFonts w:ascii="Calibri" w:hAnsi="Calibri"/>
                <w:b/>
                <w:i w:val="0"/>
                <w:sz w:val="20"/>
              </w:rPr>
              <w:t>Kommentar</w:t>
            </w:r>
          </w:p>
        </w:tc>
      </w:tr>
      <w:tr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01 Corporate</w:t>
            </w:r>
          </w:p>
        </w:tc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60 %</w:t>
            </w:r>
          </w:p>
        </w:tc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Gesellschafterliste, UBO II, Ausgliederung fehlen</w:t>
            </w:r>
          </w:p>
        </w:tc>
      </w:tr>
      <w:tr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02 Financial</w:t>
            </w:r>
          </w:p>
        </w:tc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50 %</w:t>
            </w:r>
          </w:p>
        </w:tc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JA 2023 und Steuerbescheide fehlen</w:t>
            </w:r>
          </w:p>
        </w:tc>
      </w:tr>
      <w:tr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03 Commercial</w:t>
            </w:r>
          </w:p>
        </w:tc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75 %</w:t>
            </w:r>
          </w:p>
        </w:tc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Kunde A Anlagen unvollständig</w:t>
            </w:r>
          </w:p>
        </w:tc>
      </w:tr>
      <w:tr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04 Tax</w:t>
            </w:r>
          </w:p>
        </w:tc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70 %</w:t>
            </w:r>
          </w:p>
        </w:tc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Steuerbescheide 2020/2023 fehlen</w:t>
            </w:r>
          </w:p>
        </w:tc>
      </w:tr>
      <w:tr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05 Regulatory (inkl. CR)</w:t>
            </w:r>
          </w:p>
        </w:tc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55 %</w:t>
            </w:r>
          </w:p>
        </w:tc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Exportgenehmigungen fehlen</w:t>
            </w:r>
          </w:p>
        </w:tc>
      </w:tr>
      <w:tr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06 IP</w:t>
            </w:r>
          </w:p>
        </w:tc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40 %</w:t>
            </w:r>
          </w:p>
        </w:tc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IP-Abtretung 2018 kritisch fehlend</w:t>
            </w:r>
          </w:p>
        </w:tc>
      </w:tr>
      <w:tr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07 Employment</w:t>
            </w:r>
          </w:p>
        </w:tc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65 %</w:t>
            </w:r>
          </w:p>
        </w:tc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Betriebsvereinbarungen 4–7, Organigramm fehlen</w:t>
            </w:r>
          </w:p>
        </w:tc>
      </w:tr>
      <w:tr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GESAMT</w:t>
            </w:r>
          </w:p>
        </w:tc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ca. 63 %</w:t>
            </w:r>
          </w:p>
        </w:tc>
        <w:tc>
          <w:tcPr>
            <w:tcW w:type="dxa" w:w="3230"/>
          </w:tcPr>
          <w:p>
            <w:r/>
            <w:r>
              <w:rPr>
                <w:rFonts w:ascii="Calibri" w:hAnsi="Calibri"/>
                <w:b w:val="0"/>
                <w:i w:val="0"/>
                <w:sz w:val="18"/>
              </w:rPr>
              <w:t>Unzureichend für Binding Offer</w:t>
            </w:r>
          </w:p>
        </w:tc>
      </w:tr>
    </w:tbl>
    <w:p/>
    <w:p>
      <w:pPr>
        <w:spacing w:after="40"/>
        <w:pBdr>
          <w:bottom w:val="single" w:sz="6" w:space="1" w:color="4472C4"/>
        </w:pBdr>
      </w:pPr>
    </w:p>
    <w:p>
      <w:pPr>
        <w:ind w:left="567"/>
      </w:pPr>
      <w:r>
        <w:rPr>
          <w:rFonts w:ascii="Calibri" w:hAnsi="Calibri"/>
          <w:b w:val="0"/>
          <w:i/>
          <w:sz w:val="20"/>
        </w:rPr>
        <w:t>Alle in diesem Dokument genannten Personen, Unternehmen, Zahlen und Aktenzeichen sind frei erfunden und dienen ausschließlich Schulungszwecken.</w:t>
      </w:r>
    </w:p>
    <w:sectPr w:rsidR="00FC693F" w:rsidRPr="0006063C" w:rsidSect="00034616">
      <w:pgSz w:w="12240" w:h="15840"/>
      <w:pgMar w:top="1417" w:right="1134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