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Pr>
        <w:jc w:val="center"/>
      </w:pPr>
      <w:r>
        <w:rPr>
          <w:rFonts w:ascii="Calibri" w:hAnsi="Calibri"/>
          <w:b/>
          <w:i w:val="0"/>
          <w:color w:val="4472C4"/>
          <w:sz w:val="40"/>
        </w:rPr>
        <w:t>LEGAL DUE DILIGENCE REPORT</w:t>
      </w:r>
    </w:p>
    <w:p>
      <w:pPr>
        <w:jc w:val="center"/>
      </w:pPr>
      <w:r>
        <w:rPr>
          <w:rFonts w:ascii="Calibri" w:hAnsi="Calibri"/>
          <w:b/>
          <w:i w:val="0"/>
          <w:sz w:val="28"/>
        </w:rPr>
        <w:t>Solaris Industries AG — Sparte Precision Drive Systems</w:t>
      </w:r>
    </w:p>
    <w:p/>
    <w:p>
      <w:pPr>
        <w:jc w:val="center"/>
      </w:pPr>
      <w:r>
        <w:rPr>
          <w:rFonts w:ascii="Calibri" w:hAnsi="Calibri"/>
          <w:b w:val="0"/>
          <w:i/>
          <w:color w:val="808080"/>
          <w:sz w:val="26"/>
        </w:rPr>
        <w:t>Projekt Silberfalke</w:t>
      </w:r>
    </w:p>
    <w:p/>
    <w:p/>
    <w:tbl>
      <w:tblPr>
        <w:tblStyle w:val="TableGrid"/>
        <w:tblW w:type="auto" w:w="0"/>
        <w:tblLook w:firstColumn="1" w:firstRow="1" w:lastColumn="0" w:lastRow="0" w:noHBand="0" w:noVBand="1" w:val="04A0"/>
      </w:tblPr>
      <w:tblGrid>
        <w:gridCol w:w="4561"/>
        <w:gridCol w:w="4561"/>
      </w:tblGrid>
      <w:tr>
        <w:tc>
          <w:tcPr>
            <w:tcW w:type="dxa" w:w="4561"/>
          </w:tcPr>
          <w:p>
            <w:r/>
            <w:r>
              <w:rPr>
                <w:rFonts w:ascii="Calibri" w:hAnsi="Calibri"/>
                <w:b/>
                <w:i w:val="0"/>
                <w:sz w:val="20"/>
              </w:rPr>
              <w:t>Mandantin</w:t>
            </w:r>
          </w:p>
        </w:tc>
        <w:tc>
          <w:tcPr>
            <w:tcW w:type="dxa" w:w="4561"/>
          </w:tcPr>
          <w:p>
            <w:r/>
            <w:r>
              <w:rPr>
                <w:rFonts w:ascii="Calibri" w:hAnsi="Calibri"/>
                <w:b w:val="0"/>
                <w:i w:val="0"/>
                <w:sz w:val="20"/>
              </w:rPr>
              <w:t>Eagle Capital Partners GmbH &amp; Co. KG, Frankfurt am Main</w:t>
            </w:r>
          </w:p>
        </w:tc>
      </w:tr>
      <w:tr>
        <w:tc>
          <w:tcPr>
            <w:tcW w:type="dxa" w:w="4561"/>
          </w:tcPr>
          <w:p>
            <w:r/>
            <w:r>
              <w:rPr>
                <w:rFonts w:ascii="Calibri" w:hAnsi="Calibri"/>
                <w:b/>
                <w:i w:val="0"/>
                <w:sz w:val="20"/>
              </w:rPr>
              <w:t>Zielgesellschaft</w:t>
            </w:r>
          </w:p>
        </w:tc>
        <w:tc>
          <w:tcPr>
            <w:tcW w:type="dxa" w:w="4561"/>
          </w:tcPr>
          <w:p>
            <w:r/>
            <w:r>
              <w:rPr>
                <w:rFonts w:ascii="Calibri" w:hAnsi="Calibri"/>
                <w:b w:val="0"/>
                <w:i w:val="0"/>
                <w:sz w:val="20"/>
              </w:rPr>
              <w:t>Solaris Industries AG, Augsburg (Sparte PDS)</w:t>
            </w:r>
          </w:p>
        </w:tc>
      </w:tr>
      <w:tr>
        <w:tc>
          <w:tcPr>
            <w:tcW w:type="dxa" w:w="4561"/>
          </w:tcPr>
          <w:p>
            <w:r/>
            <w:r>
              <w:rPr>
                <w:rFonts w:ascii="Calibri" w:hAnsi="Calibri"/>
                <w:b/>
                <w:i w:val="0"/>
                <w:sz w:val="20"/>
              </w:rPr>
              <w:t>Aktenzeichen</w:t>
            </w:r>
          </w:p>
        </w:tc>
        <w:tc>
          <w:tcPr>
            <w:tcW w:type="dxa" w:w="4561"/>
          </w:tcPr>
          <w:p>
            <w:r/>
            <w:r>
              <w:rPr>
                <w:rFonts w:ascii="Calibri" w:hAnsi="Calibri"/>
                <w:b w:val="0"/>
                <w:i w:val="0"/>
                <w:sz w:val="20"/>
              </w:rPr>
              <w:t>MWK/2024/SIL-001</w:t>
            </w:r>
          </w:p>
        </w:tc>
      </w:tr>
      <w:tr>
        <w:tc>
          <w:tcPr>
            <w:tcW w:type="dxa" w:w="4561"/>
          </w:tcPr>
          <w:p>
            <w:r/>
            <w:r>
              <w:rPr>
                <w:rFonts w:ascii="Calibri" w:hAnsi="Calibri"/>
                <w:b/>
                <w:i w:val="0"/>
                <w:sz w:val="20"/>
              </w:rPr>
              <w:t>Berichtsdatum</w:t>
            </w:r>
          </w:p>
        </w:tc>
        <w:tc>
          <w:tcPr>
            <w:tcW w:type="dxa" w:w="4561"/>
          </w:tcPr>
          <w:p>
            <w:r/>
            <w:r>
              <w:rPr>
                <w:rFonts w:ascii="Calibri" w:hAnsi="Calibri"/>
                <w:b w:val="0"/>
                <w:i w:val="0"/>
                <w:sz w:val="20"/>
              </w:rPr>
              <w:t>18. Dezember 2024 (Interim Report)</w:t>
            </w:r>
          </w:p>
        </w:tc>
      </w:tr>
      <w:tr>
        <w:tc>
          <w:tcPr>
            <w:tcW w:type="dxa" w:w="4561"/>
          </w:tcPr>
          <w:p>
            <w:r/>
            <w:r>
              <w:rPr>
                <w:rFonts w:ascii="Calibri" w:hAnsi="Calibri"/>
                <w:b/>
                <w:i w:val="0"/>
                <w:sz w:val="20"/>
              </w:rPr>
              <w:t>Version</w:t>
            </w:r>
          </w:p>
        </w:tc>
        <w:tc>
          <w:tcPr>
            <w:tcW w:type="dxa" w:w="4561"/>
          </w:tcPr>
          <w:p>
            <w:r/>
            <w:r>
              <w:rPr>
                <w:rFonts w:ascii="Calibri" w:hAnsi="Calibri"/>
                <w:b w:val="0"/>
                <w:i w:val="0"/>
                <w:sz w:val="20"/>
              </w:rPr>
              <w:t>Interim 1.0 — streng vertraulich</w:t>
            </w:r>
          </w:p>
        </w:tc>
      </w:tr>
      <w:tr>
        <w:tc>
          <w:tcPr>
            <w:tcW w:type="dxa" w:w="4561"/>
          </w:tcPr>
          <w:p>
            <w:r/>
            <w:r>
              <w:rPr>
                <w:rFonts w:ascii="Calibri" w:hAnsi="Calibri"/>
                <w:b/>
                <w:i w:val="0"/>
                <w:sz w:val="20"/>
              </w:rPr>
              <w:t>Erstellt durch</w:t>
            </w:r>
          </w:p>
        </w:tc>
        <w:tc>
          <w:tcPr>
            <w:tcW w:type="dxa" w:w="4561"/>
          </w:tcPr>
          <w:p>
            <w:r/>
            <w:r>
              <w:rPr>
                <w:rFonts w:ascii="Calibri" w:hAnsi="Calibri"/>
                <w:b w:val="0"/>
                <w:i w:val="0"/>
                <w:sz w:val="20"/>
              </w:rPr>
              <w:t>MWK Rechtsanwälte Partnerschaftsgesellschaft mbB</w:t>
            </w:r>
          </w:p>
        </w:tc>
      </w:tr>
      <w:tr>
        <w:tc>
          <w:tcPr>
            <w:tcW w:type="dxa" w:w="4561"/>
          </w:tcPr>
          <w:p>
            <w:r/>
            <w:r>
              <w:rPr>
                <w:rFonts w:ascii="Calibri" w:hAnsi="Calibri"/>
                <w:b/>
                <w:i w:val="0"/>
                <w:sz w:val="20"/>
              </w:rPr>
              <w:t>Federführung</w:t>
            </w:r>
          </w:p>
        </w:tc>
        <w:tc>
          <w:tcPr>
            <w:tcW w:type="dxa" w:w="4561"/>
          </w:tcPr>
          <w:p>
            <w:r/>
            <w:r>
              <w:rPr>
                <w:rFonts w:ascii="Calibri" w:hAnsi="Calibri"/>
                <w:b w:val="0"/>
                <w:i w:val="0"/>
                <w:sz w:val="20"/>
              </w:rPr>
              <w:t>Dr. Markus Weidemann, Partner</w:t>
            </w:r>
          </w:p>
        </w:tc>
      </w:tr>
    </w:tbl>
    <w:p/>
    <w:p>
      <w:pPr>
        <w:jc w:val="center"/>
      </w:pPr>
      <w:r>
        <w:rPr>
          <w:rFonts w:ascii="Calibri" w:hAnsi="Calibri"/>
          <w:b/>
          <w:i w:val="0"/>
          <w:color w:val="C00000"/>
          <w:sz w:val="18"/>
        </w:rPr>
        <w:t>STRENG VERTRAULICH — Nur für den internen Gebrauch der Mandantin und ihrer Berater</w:t>
      </w:r>
    </w:p>
    <w:p>
      <w:r>
        <w:br w:type="page"/>
      </w:r>
    </w:p>
    <w:p>
      <w:pPr>
        <w:pStyle w:val="Heading1"/>
      </w:pPr>
      <w:r>
        <w:rPr>
          <w:rFonts w:ascii="Calibri" w:hAnsi="Calibri"/>
          <w:sz w:val="28"/>
        </w:rPr>
        <w:t>Executive Summary</w:t>
      </w:r>
    </w:p>
    <w:p>
      <w:pPr>
        <w:spacing w:after="40"/>
        <w:pBdr>
          <w:bottom w:val="single" w:sz="6" w:space="1" w:color="4472C4"/>
        </w:pBdr>
      </w:pPr>
    </w:p>
    <w:p/>
    <w:p>
      <w:r>
        <w:rPr>
          <w:rFonts w:ascii="Calibri" w:hAnsi="Calibri"/>
          <w:b w:val="0"/>
          <w:i w:val="0"/>
          <w:sz w:val="22"/>
        </w:rPr>
        <w:t>Das vorliegende Legal Due Diligence Interim Report (Stand: 18. Dezember 2024) fasst die wesentlichen Befunde aus der Prüfung der Solaris Industries AG und des Carve-out-Perimeters (Sparte Precision Drive Systems, nachfolgend "PDS") zusammen. Die Due Diligence wurde auf der Grundlage des Virtual Data Room (Intralinks, Phase 2, eröffnet am 25. November 2024) sowie der Management Presentation vom 4. Dezember 2024 und mehrerer Expert Calls durchgeführt.</w:t>
      </w:r>
    </w:p>
    <w:p/>
    <w:p>
      <w:pPr>
        <w:pStyle w:val="Heading2"/>
      </w:pPr>
      <w:r>
        <w:rPr>
          <w:rFonts w:ascii="Calibri" w:hAnsi="Calibri"/>
          <w:sz w:val="24"/>
        </w:rPr>
        <w:t>1. Gesamtbewertung</w:t>
      </w:r>
    </w:p>
    <w:p>
      <w:r>
        <w:rPr>
          <w:rFonts w:ascii="Calibri" w:hAnsi="Calibri"/>
          <w:b w:val="0"/>
          <w:i w:val="0"/>
          <w:sz w:val="22"/>
        </w:rPr>
        <w:t>Die Transaktion ist grundsätzlich durchführbar. Die Gesellschaft verfügt über ein solides operatives Fundament, ein substanzielles IP-Portfolio und langfristige Kundenbeziehungen. Es wurden jedoch drei wesentliche Befunde (Red Flags) mit hoher Priorität identifiziert, die vor Signing durch vertragliche Maßnahmen adressiert werden müssen:</w:t>
      </w:r>
    </w:p>
    <w:p/>
    <w:tbl>
      <w:tblPr>
        <w:tblStyle w:val="TableGrid"/>
        <w:tblW w:type="auto" w:w="0"/>
        <w:tblLook w:firstColumn="1" w:firstRow="1" w:lastColumn="0" w:lastRow="0" w:noHBand="0" w:noVBand="1" w:val="04A0"/>
      </w:tblPr>
      <w:tblGrid>
        <w:gridCol w:w="2280"/>
        <w:gridCol w:w="2280"/>
        <w:gridCol w:w="2280"/>
        <w:gridCol w:w="2280"/>
      </w:tblGrid>
      <w:tr>
        <w:tc>
          <w:tcPr>
            <w:tcW w:type="dxa" w:w="2280"/>
            <w:shd w:val="clear" w:color="auto" w:fill="C00000"/>
          </w:tcPr>
          <w:p>
            <w:r/>
            <w:r>
              <w:rPr>
                <w:rFonts w:ascii="Calibri" w:hAnsi="Calibri"/>
                <w:b/>
                <w:i w:val="0"/>
                <w:sz w:val="20"/>
              </w:rPr>
              <w:t>Nr.</w:t>
            </w:r>
          </w:p>
        </w:tc>
        <w:tc>
          <w:tcPr>
            <w:tcW w:type="dxa" w:w="2280"/>
            <w:shd w:val="clear" w:color="auto" w:fill="C00000"/>
          </w:tcPr>
          <w:p>
            <w:r/>
            <w:r>
              <w:rPr>
                <w:rFonts w:ascii="Calibri" w:hAnsi="Calibri"/>
                <w:b/>
                <w:i w:val="0"/>
                <w:sz w:val="20"/>
              </w:rPr>
              <w:t>Befund</w:t>
            </w:r>
          </w:p>
        </w:tc>
        <w:tc>
          <w:tcPr>
            <w:tcW w:type="dxa" w:w="2280"/>
            <w:shd w:val="clear" w:color="auto" w:fill="C00000"/>
          </w:tcPr>
          <w:p>
            <w:r/>
            <w:r>
              <w:rPr>
                <w:rFonts w:ascii="Calibri" w:hAnsi="Calibri"/>
                <w:b/>
                <w:i w:val="0"/>
                <w:sz w:val="20"/>
              </w:rPr>
              <w:t>Schweregrad</w:t>
            </w:r>
          </w:p>
        </w:tc>
        <w:tc>
          <w:tcPr>
            <w:tcW w:type="dxa" w:w="2280"/>
            <w:shd w:val="clear" w:color="auto" w:fill="C00000"/>
          </w:tcPr>
          <w:p>
            <w:r/>
            <w:r>
              <w:rPr>
                <w:rFonts w:ascii="Calibri" w:hAnsi="Calibri"/>
                <w:b/>
                <w:i w:val="0"/>
                <w:sz w:val="20"/>
              </w:rPr>
              <w:t>SPA-Maßnahme</w:t>
            </w:r>
          </w:p>
        </w:tc>
      </w:tr>
      <w:tr>
        <w:tc>
          <w:tcPr>
            <w:tcW w:type="dxa" w:w="2280"/>
          </w:tcPr>
          <w:p>
            <w:r/>
            <w:r>
              <w:rPr>
                <w:rFonts w:ascii="Calibri" w:hAnsi="Calibri"/>
                <w:b w:val="0"/>
                <w:i w:val="0"/>
                <w:sz w:val="18"/>
              </w:rPr>
              <w:t>RF-001</w:t>
            </w:r>
          </w:p>
        </w:tc>
        <w:tc>
          <w:tcPr>
            <w:tcW w:type="dxa" w:w="2280"/>
          </w:tcPr>
          <w:p>
            <w:r/>
            <w:r>
              <w:rPr>
                <w:rFonts w:ascii="Calibri" w:hAnsi="Calibri"/>
                <w:b w:val="0"/>
                <w:i w:val="0"/>
                <w:sz w:val="18"/>
              </w:rPr>
              <w:t>Change-of-Control-Klausel Rahmenvertrag Kunde A (EUR 28 Mio. p.a.)</w:t>
            </w:r>
          </w:p>
        </w:tc>
        <w:tc>
          <w:tcPr>
            <w:tcW w:type="dxa" w:w="2280"/>
          </w:tcPr>
          <w:p>
            <w:r/>
            <w:r>
              <w:rPr>
                <w:rFonts w:ascii="Calibri" w:hAnsi="Calibri"/>
                <w:b w:val="0"/>
                <w:i w:val="0"/>
                <w:sz w:val="18"/>
              </w:rPr>
              <w:t>HOCH</w:t>
            </w:r>
          </w:p>
        </w:tc>
        <w:tc>
          <w:tcPr>
            <w:tcW w:type="dxa" w:w="2280"/>
          </w:tcPr>
          <w:p>
            <w:r/>
            <w:r>
              <w:rPr>
                <w:rFonts w:ascii="Calibri" w:hAnsi="Calibri"/>
                <w:b w:val="0"/>
                <w:i w:val="0"/>
                <w:sz w:val="18"/>
              </w:rPr>
              <w:t>Closing Condition: Waiver Kunde A; Escrow EUR 12 Mio.</w:t>
            </w:r>
          </w:p>
        </w:tc>
      </w:tr>
      <w:tr>
        <w:tc>
          <w:tcPr>
            <w:tcW w:type="dxa" w:w="2280"/>
          </w:tcPr>
          <w:p>
            <w:r/>
            <w:r>
              <w:rPr>
                <w:rFonts w:ascii="Calibri" w:hAnsi="Calibri"/>
                <w:b w:val="0"/>
                <w:i w:val="0"/>
                <w:sz w:val="18"/>
              </w:rPr>
              <w:t>RF-002</w:t>
            </w:r>
          </w:p>
        </w:tc>
        <w:tc>
          <w:tcPr>
            <w:tcW w:type="dxa" w:w="2280"/>
          </w:tcPr>
          <w:p>
            <w:r/>
            <w:r>
              <w:rPr>
                <w:rFonts w:ascii="Calibri" w:hAnsi="Calibri"/>
                <w:b w:val="0"/>
                <w:i w:val="0"/>
                <w:sz w:val="18"/>
              </w:rPr>
              <w:t>Exportkontrollverstoß: PDS-800-Lieferungen nach Singapur ohne BAFA-Genehmigung</w:t>
            </w:r>
          </w:p>
        </w:tc>
        <w:tc>
          <w:tcPr>
            <w:tcW w:type="dxa" w:w="2280"/>
          </w:tcPr>
          <w:p>
            <w:r/>
            <w:r>
              <w:rPr>
                <w:rFonts w:ascii="Calibri" w:hAnsi="Calibri"/>
                <w:b w:val="0"/>
                <w:i w:val="0"/>
                <w:sz w:val="18"/>
              </w:rPr>
              <w:t>HOCH</w:t>
            </w:r>
          </w:p>
        </w:tc>
        <w:tc>
          <w:tcPr>
            <w:tcW w:type="dxa" w:w="2280"/>
          </w:tcPr>
          <w:p>
            <w:r/>
            <w:r>
              <w:rPr>
                <w:rFonts w:ascii="Calibri" w:hAnsi="Calibri"/>
                <w:b w:val="0"/>
                <w:i w:val="0"/>
                <w:sz w:val="18"/>
              </w:rPr>
              <w:t>Regulatory Indemnity; Pre-Closing Remediation; Selbstanzeige BAFA</w:t>
            </w:r>
          </w:p>
        </w:tc>
      </w:tr>
      <w:tr>
        <w:tc>
          <w:tcPr>
            <w:tcW w:type="dxa" w:w="2280"/>
          </w:tcPr>
          <w:p>
            <w:r/>
            <w:r>
              <w:rPr>
                <w:rFonts w:ascii="Calibri" w:hAnsi="Calibri"/>
                <w:b w:val="0"/>
                <w:i w:val="0"/>
                <w:sz w:val="18"/>
              </w:rPr>
              <w:t>RF-003</w:t>
            </w:r>
          </w:p>
        </w:tc>
        <w:tc>
          <w:tcPr>
            <w:tcW w:type="dxa" w:w="2280"/>
          </w:tcPr>
          <w:p>
            <w:r/>
            <w:r>
              <w:rPr>
                <w:rFonts w:ascii="Calibri" w:hAnsi="Calibri"/>
                <w:b w:val="0"/>
                <w:i w:val="0"/>
                <w:sz w:val="18"/>
              </w:rPr>
              <w:t>IP-Abtretungsvertrag Gründer Grünwald (2018) nicht vorhanden</w:t>
            </w:r>
          </w:p>
        </w:tc>
        <w:tc>
          <w:tcPr>
            <w:tcW w:type="dxa" w:w="2280"/>
          </w:tcPr>
          <w:p>
            <w:r/>
            <w:r>
              <w:rPr>
                <w:rFonts w:ascii="Calibri" w:hAnsi="Calibri"/>
                <w:b w:val="0"/>
                <w:i w:val="0"/>
                <w:sz w:val="18"/>
              </w:rPr>
              <w:t>HOCH</w:t>
            </w:r>
          </w:p>
        </w:tc>
        <w:tc>
          <w:tcPr>
            <w:tcW w:type="dxa" w:w="2280"/>
          </w:tcPr>
          <w:p>
            <w:r/>
            <w:r>
              <w:rPr>
                <w:rFonts w:ascii="Calibri" w:hAnsi="Calibri"/>
                <w:b w:val="0"/>
                <w:i w:val="0"/>
                <w:sz w:val="18"/>
              </w:rPr>
              <w:t>Closing Condition: Vorlage Original; Garantie Eigentum</w:t>
            </w:r>
          </w:p>
        </w:tc>
      </w:tr>
      <w:tr>
        <w:tc>
          <w:tcPr>
            <w:tcW w:type="dxa" w:w="2280"/>
          </w:tcPr>
          <w:p>
            <w:r/>
            <w:r>
              <w:rPr>
                <w:rFonts w:ascii="Calibri" w:hAnsi="Calibri"/>
                <w:b w:val="0"/>
                <w:i w:val="0"/>
                <w:sz w:val="18"/>
              </w:rPr>
              <w:t>RF-004</w:t>
            </w:r>
          </w:p>
        </w:tc>
        <w:tc>
          <w:tcPr>
            <w:tcW w:type="dxa" w:w="2280"/>
          </w:tcPr>
          <w:p>
            <w:r/>
            <w:r>
              <w:rPr>
                <w:rFonts w:ascii="Calibri" w:hAnsi="Calibri"/>
                <w:b w:val="0"/>
                <w:i w:val="0"/>
                <w:sz w:val="18"/>
              </w:rPr>
              <w:t>Liquiditätslage Solaris Distribution Italia S.r.l.</w:t>
            </w:r>
          </w:p>
        </w:tc>
        <w:tc>
          <w:tcPr>
            <w:tcW w:type="dxa" w:w="2280"/>
          </w:tcPr>
          <w:p>
            <w:r/>
            <w:r>
              <w:rPr>
                <w:rFonts w:ascii="Calibri" w:hAnsi="Calibri"/>
                <w:b w:val="0"/>
                <w:i w:val="0"/>
                <w:sz w:val="18"/>
              </w:rPr>
              <w:t>MITTEL</w:t>
            </w:r>
          </w:p>
        </w:tc>
        <w:tc>
          <w:tcPr>
            <w:tcW w:type="dxa" w:w="2280"/>
          </w:tcPr>
          <w:p>
            <w:r/>
            <w:r>
              <w:rPr>
                <w:rFonts w:ascii="Calibri" w:hAnsi="Calibri"/>
                <w:b w:val="0"/>
                <w:i w:val="0"/>
                <w:sz w:val="18"/>
              </w:rPr>
              <w:t>Closing Condition; Perimeter-Option</w:t>
            </w:r>
          </w:p>
        </w:tc>
      </w:tr>
      <w:tr>
        <w:tc>
          <w:tcPr>
            <w:tcW w:type="dxa" w:w="2280"/>
          </w:tcPr>
          <w:p>
            <w:r/>
            <w:r>
              <w:rPr>
                <w:rFonts w:ascii="Calibri" w:hAnsi="Calibri"/>
                <w:b w:val="0"/>
                <w:i w:val="0"/>
                <w:sz w:val="18"/>
              </w:rPr>
              <w:t>RF-005</w:t>
            </w:r>
          </w:p>
        </w:tc>
        <w:tc>
          <w:tcPr>
            <w:tcW w:type="dxa" w:w="2280"/>
          </w:tcPr>
          <w:p>
            <w:r/>
            <w:r>
              <w:rPr>
                <w:rFonts w:ascii="Calibri" w:hAnsi="Calibri"/>
                <w:b w:val="0"/>
                <w:i w:val="0"/>
                <w:sz w:val="18"/>
              </w:rPr>
              <w:t>Umwandlung 2024 / § 8c KStG Verlustvorträge EUR 12 Mio.</w:t>
            </w:r>
          </w:p>
        </w:tc>
        <w:tc>
          <w:tcPr>
            <w:tcW w:type="dxa" w:w="2280"/>
          </w:tcPr>
          <w:p>
            <w:r/>
            <w:r>
              <w:rPr>
                <w:rFonts w:ascii="Calibri" w:hAnsi="Calibri"/>
                <w:b w:val="0"/>
                <w:i w:val="0"/>
                <w:sz w:val="18"/>
              </w:rPr>
              <w:t>MITTEL</w:t>
            </w:r>
          </w:p>
        </w:tc>
        <w:tc>
          <w:tcPr>
            <w:tcW w:type="dxa" w:w="2280"/>
          </w:tcPr>
          <w:p>
            <w:r/>
            <w:r>
              <w:rPr>
                <w:rFonts w:ascii="Calibri" w:hAnsi="Calibri"/>
                <w:b w:val="0"/>
                <w:i w:val="0"/>
                <w:sz w:val="18"/>
              </w:rPr>
              <w:t>Tax Covenant + Steuerfreistellung</w:t>
            </w:r>
          </w:p>
        </w:tc>
      </w:tr>
    </w:tbl>
    <w:p/>
    <w:p>
      <w:pPr>
        <w:pStyle w:val="Heading2"/>
      </w:pPr>
      <w:r>
        <w:rPr>
          <w:rFonts w:ascii="Calibri" w:hAnsi="Calibri"/>
          <w:sz w:val="24"/>
        </w:rPr>
        <w:t>2. Datenraum-Vollständigkeit</w:t>
      </w:r>
    </w:p>
    <w:p>
      <w:r>
        <w:rPr>
          <w:rFonts w:ascii="Calibri" w:hAnsi="Calibri"/>
          <w:b w:val="0"/>
          <w:i w:val="0"/>
          <w:sz w:val="22"/>
        </w:rPr>
        <w:t>Der Datenraum ist zum Berichtsdatum zu ca. 63 % vollständig. Kritische fehlende Dokumente (insbesondere der Jahresabschluss 2023, die vollständige Gesellschafterliste und der IP-Abtretungsvertrag) wurden in der Gap-Analyse (04_datenraum/gap_analysis_erwartung.md) dokumentiert und mit Fristen beim Seller angemahnt. Für ein finales Binding Offer ist ein Datenraum-Vollständigkeitsgrad von mindestens 90 % zu fordern.</w:t>
      </w:r>
    </w:p>
    <w:p/>
    <w:p>
      <w:pPr>
        <w:pStyle w:val="Heading2"/>
      </w:pPr>
      <w:r>
        <w:rPr>
          <w:rFonts w:ascii="Calibri" w:hAnsi="Calibri"/>
          <w:sz w:val="24"/>
        </w:rPr>
        <w:t>3. Verfahrensstand und nächste Schritte</w:t>
      </w:r>
    </w:p>
    <w:p>
      <w:r>
        <w:rPr>
          <w:rFonts w:ascii="Calibri" w:hAnsi="Calibri"/>
          <w:b w:val="0"/>
          <w:i w:val="0"/>
          <w:sz w:val="22"/>
        </w:rPr>
        <w:t>Bis zum geplanten Binding-Offer-Termin (13. Januar 2025) sind folgende Maßnahmen erforderlich:</w:t>
      </w:r>
    </w:p>
    <w:p>
      <w:pPr>
        <w:pStyle w:val="ListBullet"/>
      </w:pPr>
      <w:r>
        <w:rPr>
          <w:rFonts w:ascii="Calibri" w:hAnsi="Calibri"/>
          <w:b w:val="0"/>
          <w:i w:val="0"/>
          <w:sz w:val="20"/>
        </w:rPr>
        <w:t>Vorlage Jahresabschluss 2023 (kritisch für Kaufpreismechanismus Locked Box)</w:t>
      </w:r>
    </w:p>
    <w:p>
      <w:pPr>
        <w:pStyle w:val="ListBullet"/>
      </w:pPr>
      <w:r>
        <w:rPr>
          <w:rFonts w:ascii="Calibri" w:hAnsi="Calibri"/>
          <w:b w:val="0"/>
          <w:i w:val="0"/>
          <w:sz w:val="20"/>
        </w:rPr>
        <w:t>Consent-Einholung Kunde A (RF-001)</w:t>
      </w:r>
    </w:p>
    <w:p>
      <w:pPr>
        <w:pStyle w:val="ListBullet"/>
      </w:pPr>
      <w:r>
        <w:rPr>
          <w:rFonts w:ascii="Calibri" w:hAnsi="Calibri"/>
          <w:b w:val="0"/>
          <w:i w:val="0"/>
          <w:sz w:val="20"/>
        </w:rPr>
        <w:t>Vorlage IP-Abtretungsvertrag 2018 (RF-003)</w:t>
      </w:r>
    </w:p>
    <w:p>
      <w:pPr>
        <w:pStyle w:val="ListBullet"/>
      </w:pPr>
      <w:r>
        <w:rPr>
          <w:rFonts w:ascii="Calibri" w:hAnsi="Calibri"/>
          <w:b w:val="0"/>
          <w:i w:val="0"/>
          <w:sz w:val="20"/>
        </w:rPr>
        <w:t>BAFA-Selbstanzeige Exportkontrolle einleiten (RF-002)</w:t>
      </w:r>
    </w:p>
    <w:p>
      <w:pPr>
        <w:pStyle w:val="ListBullet"/>
      </w:pPr>
      <w:r>
        <w:rPr>
          <w:rFonts w:ascii="Calibri" w:hAnsi="Calibri"/>
          <w:b w:val="0"/>
          <w:i w:val="0"/>
          <w:sz w:val="20"/>
        </w:rPr>
        <w:t>Ausgliederung Solaris Service GmbH abschließen (Eintragung HR bis 10.01.2025)</w:t>
      </w:r>
    </w:p>
    <w:p>
      <w:pPr>
        <w:pStyle w:val="ListBullet"/>
      </w:pPr>
      <w:r>
        <w:rPr>
          <w:rFonts w:ascii="Calibri" w:hAnsi="Calibri"/>
          <w:b w:val="0"/>
          <w:i w:val="0"/>
          <w:sz w:val="20"/>
        </w:rPr>
        <w:t>Finales SPA-Markup und Disclosure-Schedule-Verhandlung (8.–13. Januar 2025)</w:t>
      </w:r>
    </w:p>
    <w:p/>
    <w:p>
      <w:pPr>
        <w:spacing w:after="40"/>
        <w:pBdr>
          <w:bottom w:val="single" w:sz="6" w:space="1" w:color="4472C4"/>
        </w:pBdr>
      </w:pPr>
    </w:p>
    <w:p>
      <w:pPr>
        <w:ind w:left="567"/>
      </w:pPr>
      <w:r>
        <w:rPr>
          <w:rFonts w:ascii="Calibri" w:hAnsi="Calibri"/>
          <w:b w:val="0"/>
          <w:i/>
          <w:sz w:val="20"/>
        </w:rPr>
        <w:t>Alle in diesem Dokument genannten Personen, Unternehmen, Zahlen und Aktenzeichen sind frei erfunden und dienen ausschließlich Schulungszwecken.</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