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color w:val="555555"/>
          <w:sz w:val="20"/>
        </w:rPr>
        <w:t>Kanzlei für Unternehmenstransaktionen · Frankfurt am Main</w:t>
      </w:r>
    </w:p>
    <w:p>
      <w:pPr>
        <w:pStyle w:val="Heading1"/>
      </w:pPr>
      <w:r>
        <w:rPr>
          <w:color w:val="000000"/>
          <w:sz w:val="28"/>
        </w:rPr>
        <w:t>Signing &amp; Closing Memo — Projekt Silberfalke</w:t>
      </w:r>
    </w:p>
    <w:p/>
    <w:p>
      <w:r>
        <w:rPr>
          <w:b/>
        </w:rPr>
        <w:t xml:space="preserve">Aktenzeichen: </w:t>
      </w:r>
      <w:r>
        <w:t>MA-2026-SF-001</w:t>
        <w:br/>
      </w:r>
      <w:r>
        <w:rPr>
          <w:b/>
        </w:rPr>
        <w:t xml:space="preserve">Verfasser: </w:t>
      </w:r>
      <w:r>
        <w:t>Partner A / Counsel B</w:t>
        <w:br/>
      </w:r>
      <w:r>
        <w:rPr>
          <w:b/>
        </w:rPr>
        <w:t xml:space="preserve">Datum: </w:t>
      </w:r>
      <w:r>
        <w:t>14.05.2026</w:t>
        <w:br/>
      </w:r>
      <w:r>
        <w:rPr>
          <w:b/>
        </w:rPr>
        <w:t xml:space="preserve">Status: </w:t>
      </w:r>
      <w:r>
        <w:t>Final — intern</w:t>
      </w:r>
    </w:p>
    <w:p>
      <w:pPr>
        <w:pStyle w:val="Heading2"/>
      </w:pPr>
      <w:r>
        <w:t>1. Transaktionsübersicht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Parameter</w:t>
            </w:r>
          </w:p>
        </w:tc>
        <w:tc>
          <w:tcPr>
            <w:tcW w:type="dxa" w:w="432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Details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Zielgesellschaft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Solaris Industries AG, Düsseldorf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Verkäufer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Nordstern Beteiligungs SE, Hamburg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Käuferin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Eagle Capital Partners Fund V GmbH &amp; Co. KG, Frankfurt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Enterprise Value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EUR 180.000.000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Equity Value (geschätzt)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EUR 162.500.000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EV/EBITDA-Multiple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ca. 8,6x (EBITDA 2025: EUR 21,0 Mio.)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Signing-Datum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15.05.2026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Voraussichtliches Closing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15.09.2026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Long-Stop-Date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31.12.2026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Gerichtsstand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Frankfurt am Main</w:t>
            </w:r>
          </w:p>
        </w:tc>
      </w:tr>
    </w:tbl>
    <w:p>
      <w:pPr>
        <w:pStyle w:val="Heading2"/>
      </w:pPr>
      <w:r>
        <w:t>2. Closing-Bedingungen (CPs)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CP-ID</w:t>
            </w:r>
          </w:p>
        </w:tc>
        <w:tc>
          <w:tcPr>
            <w:tcW w:type="dxa" w:w="216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Bedingung</w:t>
            </w:r>
          </w:p>
        </w:tc>
        <w:tc>
          <w:tcPr>
            <w:tcW w:type="dxa" w:w="216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Frist</w:t>
            </w:r>
          </w:p>
        </w:tc>
        <w:tc>
          <w:tcPr>
            <w:tcW w:type="dxa" w:w="216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Status</w:t>
            </w:r>
          </w:p>
        </w:tc>
      </w:tr>
      <w:tr>
        <w:tc>
          <w:tcPr>
            <w:tcW w:type="dxa" w:w="2160"/>
          </w:tcPr>
          <w:p>
            <w:r>
              <w:rPr>
                <w:sz w:val="20"/>
              </w:rPr>
              <w:t>CP-01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BKartA-Freigabe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31.07.2026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In Vorbereitung</w:t>
            </w:r>
          </w:p>
        </w:tc>
      </w:tr>
      <w:tr>
        <w:tc>
          <w:tcPr>
            <w:tcW w:type="dxa" w:w="2160"/>
          </w:tcPr>
          <w:p>
            <w:r>
              <w:rPr>
                <w:sz w:val="20"/>
              </w:rPr>
              <w:t>CP-02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BMWK AWV-Unbedenklichkeit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30.09.2026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Ausstehend</w:t>
            </w:r>
          </w:p>
        </w:tc>
      </w:tr>
      <w:tr>
        <w:tc>
          <w:tcPr>
            <w:tcW w:type="dxa" w:w="2160"/>
          </w:tcPr>
          <w:p>
            <w:r>
              <w:rPr>
                <w:sz w:val="20"/>
              </w:rPr>
              <w:t>CP-10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Warranty Bringdown / No MAC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Closing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Monitoring</w:t>
            </w:r>
          </w:p>
        </w:tc>
      </w:tr>
      <w:tr>
        <w:tc>
          <w:tcPr>
            <w:tcW w:type="dxa" w:w="2160"/>
          </w:tcPr>
          <w:p>
            <w:r>
              <w:rPr>
                <w:sz w:val="20"/>
              </w:rPr>
              <w:t>CP-13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Rangrücktritt GGD Delta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30.06.2026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Entwurf</w:t>
            </w:r>
          </w:p>
        </w:tc>
      </w:tr>
      <w:tr>
        <w:tc>
          <w:tcPr>
            <w:tcW w:type="dxa" w:w="2160"/>
          </w:tcPr>
          <w:p>
            <w:r>
              <w:rPr>
                <w:sz w:val="20"/>
              </w:rPr>
              <w:t>CP-14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Kundenconsent Aero Nordic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31.07.2026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Kontakt initiiert</w:t>
            </w:r>
          </w:p>
        </w:tc>
      </w:tr>
      <w:tr>
        <w:tc>
          <w:tcPr>
            <w:tcW w:type="dxa" w:w="2160"/>
          </w:tcPr>
          <w:p>
            <w:r>
              <w:rPr>
                <w:sz w:val="20"/>
              </w:rPr>
              <w:t>CP-20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Equity Commitment Letter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Closing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Bestätigt</w:t>
            </w:r>
          </w:p>
        </w:tc>
      </w:tr>
      <w:tr>
        <w:tc>
          <w:tcPr>
            <w:tcW w:type="dxa" w:w="2160"/>
          </w:tcPr>
          <w:p>
            <w:r>
              <w:rPr>
                <w:sz w:val="20"/>
              </w:rPr>
              <w:t>CP-21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W&amp;I-Policy Bindungszusage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01.08.2026</w:t>
            </w:r>
          </w:p>
        </w:tc>
        <w:tc>
          <w:tcPr>
            <w:tcW w:type="dxa" w:w="2160"/>
          </w:tcPr>
          <w:p>
            <w:r>
              <w:rPr>
                <w:sz w:val="20"/>
              </w:rPr>
              <w:t>Underwriting läuft</w:t>
            </w:r>
          </w:p>
        </w:tc>
      </w:tr>
    </w:tbl>
    <w:p>
      <w:pPr>
        <w:pStyle w:val="Heading2"/>
      </w:pPr>
      <w:r>
        <w:t>3. Closing-Mechanismus</w:t>
      </w:r>
    </w:p>
    <w:p>
      <w:r>
        <w:t>Der Kaufpreis wird nach dem Stichtagsbilanzprinzip angepasst (Closing Accounts). Am Closing-Tag zahlt die Käuferin den Kaufpreis auf ein Notaranderkonto, der Notar prüft alle CP-Nachweise und überweist nach Bestätigung an Nordstern. Die notarielle Abtretungserklärung wird unmittelbar im Anschluss beurkundet. Die W&amp;I-Police tritt mit Closing-Vollzug in Kraft.</w:t>
      </w:r>
    </w:p>
    <w:p>
      <w:pPr>
        <w:pStyle w:val="Heading2"/>
      </w:pPr>
      <w:r>
        <w:t>4. Post-Closing-Pflichten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Pflicht</w:t>
            </w:r>
          </w:p>
        </w:tc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Frist nach Closing</w:t>
            </w:r>
          </w:p>
        </w:tc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Verantwortlich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Gesellschafterliste Handelsregister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3 Tage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Notar / Nordstern Counsel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Vollzugsmeldung BKartA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1 Woche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Regulatory Counsel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W&amp;I-Policy Aktivierung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Sofort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Counsel B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Closing Bible finalisieren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4 Wochen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Counsel B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PMI-Kick-off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1 Woche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Eagle PMI-Team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Closing Accounts Aufstellung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60 Tage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CFO Solaris</w:t>
            </w:r>
          </w:p>
        </w:tc>
      </w:tr>
    </w:tbl>
    <w:p/>
    <w:p>
      <w:r>
        <w:rPr>
          <w:i/>
        </w:rPr>
        <w:t>Aktenvermerk-Nr.: AV-SCM-2026-001 | Privileged &amp; Confidential — Attorney-Client Communication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sz w:val="18"/>
      </w:rPr>
      <w:t>Az.: MA-2026-SF-001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