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left"/>
      </w:pPr>
      <w:r>
        <w:rPr>
          <w:color w:val="555555"/>
          <w:sz w:val="20"/>
        </w:rPr>
        <w:t>Kanzlei für Unternehmenstransaktionen · Frankfurt am Main</w:t>
      </w:r>
    </w:p>
    <w:p>
      <w:pPr>
        <w:pStyle w:val="Heading1"/>
      </w:pPr>
      <w:r>
        <w:rPr>
          <w:color w:val="000000"/>
          <w:sz w:val="28"/>
        </w:rPr>
        <w:t>MAR-Präventiv-Memo — Projekt Silberfalke</w:t>
      </w:r>
    </w:p>
    <w:p/>
    <w:p>
      <w:r>
        <w:rPr>
          <w:b/>
        </w:rPr>
        <w:t xml:space="preserve">Aktenzeichen: </w:t>
      </w:r>
      <w:r>
        <w:t>MA-2026-SF-001</w:t>
        <w:br/>
      </w:r>
      <w:r>
        <w:rPr>
          <w:b/>
        </w:rPr>
        <w:t xml:space="preserve">Verfasser: </w:t>
      </w:r>
      <w:r>
        <w:t>Dr. Kessler (Kapitalmarktrecht)</w:t>
        <w:br/>
      </w:r>
      <w:r>
        <w:rPr>
          <w:b/>
        </w:rPr>
        <w:t xml:space="preserve">Datum: </w:t>
      </w:r>
      <w:r>
        <w:t>15.05.2026</w:t>
        <w:br/>
      </w:r>
      <w:r>
        <w:rPr>
          <w:b/>
        </w:rPr>
        <w:t xml:space="preserve">Status: </w:t>
      </w:r>
      <w:r>
        <w:t>Arbeitsfassung — nicht final</w:t>
      </w:r>
    </w:p>
    <w:p>
      <w:pPr>
        <w:pStyle w:val="Heading2"/>
      </w:pPr>
      <w:r>
        <w:t>1. Ausgangslage</w:t>
      </w:r>
    </w:p>
    <w:p>
      <w:r>
        <w:t>Solaris Industries AG ist nicht börsennotiert. Die EU-Marktmissbrauchsverordnung (MAR, Verordnung EU 596/2014) ist auf die Transaktion selbst grundsätzlich nicht anwendbar. Dieses Memo analysiert die MAR-Relevanz über die börsennotierte Konzernmutter Nordstern Beteiligungs SE (ISIN DE000NBS1234), die ca. 22 % ihres Konzern-EBITDA aus Solaris Industries AG erzielt.</w:t>
      </w:r>
    </w:p>
    <w:p>
      <w:pPr>
        <w:pStyle w:val="Heading2"/>
      </w:pPr>
      <w:r>
        <w:t>2. Prüfung: Insiderinformation</w:t>
      </w:r>
    </w:p>
    <w:tbl>
      <w:tblPr>
        <w:tblStyle w:val="TableGrid"/>
        <w:tblW w:type="auto" w:w="0"/>
        <w:tblLook w:firstColumn="1" w:firstRow="1" w:lastColumn="0" w:lastRow="0" w:noHBand="0" w:noVBand="1" w:val="04A0"/>
      </w:tblPr>
      <w:tblGrid>
        <w:gridCol w:w="4320"/>
        <w:gridCol w:w="4320"/>
      </w:tblGrid>
      <w:tr>
        <w:tc>
          <w:tcPr>
            <w:tcW w:type="dxa" w:w="4320"/>
            <w:shd w:val="clear" w:color="auto" w:fill="1B3A5C"/>
          </w:tcPr>
          <w:p>
            <w:r>
              <w:rPr>
                <w:b/>
                <w:color w:val="FFFFFF"/>
                <w:sz w:val="20"/>
              </w:rPr>
              <w:t>Kriterium</w:t>
            </w:r>
          </w:p>
        </w:tc>
        <w:tc>
          <w:tcPr>
            <w:tcW w:type="dxa" w:w="4320"/>
            <w:shd w:val="clear" w:color="auto" w:fill="1B3A5C"/>
          </w:tcPr>
          <w:p>
            <w:r>
              <w:rPr>
                <w:b/>
                <w:color w:val="FFFFFF"/>
                <w:sz w:val="20"/>
              </w:rPr>
              <w:t>Einschätzung</w:t>
            </w:r>
          </w:p>
        </w:tc>
      </w:tr>
      <w:tr>
        <w:tc>
          <w:tcPr>
            <w:tcW w:type="dxa" w:w="4320"/>
          </w:tcPr>
          <w:p>
            <w:r>
              <w:rPr>
                <w:b/>
                <w:sz w:val="20"/>
              </w:rPr>
              <w:t>Präzise Information</w:t>
            </w:r>
          </w:p>
        </w:tc>
        <w:tc>
          <w:tcPr>
            <w:tcW w:type="dxa" w:w="4320"/>
          </w:tcPr>
          <w:p>
            <w:r>
              <w:rPr>
                <w:sz w:val="20"/>
              </w:rPr>
              <w:t>Ja: Unterzeichneter SPA mit definiertem EV EUR 180 Mio.</w:t>
            </w:r>
          </w:p>
        </w:tc>
      </w:tr>
      <w:tr>
        <w:tc>
          <w:tcPr>
            <w:tcW w:type="dxa" w:w="4320"/>
          </w:tcPr>
          <w:p>
            <w:r>
              <w:rPr>
                <w:b/>
                <w:sz w:val="20"/>
              </w:rPr>
              <w:t>Nichtöffentlich</w:t>
            </w:r>
          </w:p>
        </w:tc>
        <w:tc>
          <w:tcPr>
            <w:tcW w:type="dxa" w:w="4320"/>
          </w:tcPr>
          <w:p>
            <w:r>
              <w:rPr>
                <w:sz w:val="20"/>
              </w:rPr>
              <w:t>Ja: Nur Deal Team und Vertragsparteien</w:t>
            </w:r>
          </w:p>
        </w:tc>
      </w:tr>
      <w:tr>
        <w:tc>
          <w:tcPr>
            <w:tcW w:type="dxa" w:w="4320"/>
          </w:tcPr>
          <w:p>
            <w:r>
              <w:rPr>
                <w:b/>
                <w:sz w:val="20"/>
              </w:rPr>
              <w:t>Emittenten-Nexus</w:t>
            </w:r>
          </w:p>
        </w:tc>
        <w:tc>
          <w:tcPr>
            <w:tcW w:type="dxa" w:w="4320"/>
          </w:tcPr>
          <w:p>
            <w:r>
              <w:rPr>
                <w:sz w:val="20"/>
              </w:rPr>
              <w:t>Nordstern Beteiligungs SE: direkt betroffen</w:t>
            </w:r>
          </w:p>
        </w:tc>
      </w:tr>
      <w:tr>
        <w:tc>
          <w:tcPr>
            <w:tcW w:type="dxa" w:w="4320"/>
          </w:tcPr>
          <w:p>
            <w:r>
              <w:rPr>
                <w:b/>
                <w:sz w:val="20"/>
              </w:rPr>
              <w:t>Erhebliche Kursrelevanz</w:t>
            </w:r>
          </w:p>
        </w:tc>
        <w:tc>
          <w:tcPr>
            <w:tcW w:type="dxa" w:w="4320"/>
          </w:tcPr>
          <w:p>
            <w:r>
              <w:rPr>
                <w:sz w:val="20"/>
              </w:rPr>
              <w:t>Plausibel (22 % Konzern-EBITDA Solaris)</w:t>
            </w:r>
          </w:p>
        </w:tc>
      </w:tr>
      <w:tr>
        <w:tc>
          <w:tcPr>
            <w:tcW w:type="dxa" w:w="4320"/>
          </w:tcPr>
          <w:p>
            <w:r>
              <w:rPr>
                <w:b/>
                <w:sz w:val="20"/>
              </w:rPr>
              <w:t>Ergebnis</w:t>
            </w:r>
          </w:p>
        </w:tc>
        <w:tc>
          <w:tcPr>
            <w:tcW w:type="dxa" w:w="4320"/>
          </w:tcPr>
          <w:p>
            <w:r>
              <w:rPr>
                <w:sz w:val="20"/>
              </w:rPr>
              <w:t>Insiderinformation nach Art. 7 MAR liegt vor ab Signing</w:t>
            </w:r>
          </w:p>
        </w:tc>
      </w:tr>
    </w:tbl>
    <w:p>
      <w:pPr>
        <w:pStyle w:val="Heading2"/>
      </w:pPr>
      <w:r>
        <w:t>3. Aufschub der Ad-hoc-Mitteilung (Art. 17 Abs. 4 MAR)</w:t>
      </w:r>
    </w:p>
    <w:p>
      <w:r>
        <w:t>Nordstern Beteiligungs SE kann den Aufschub der Ad-hoc-Mitteilung beschließen, wenn (1) berechtigte Interessen an Geheimhaltung bestehen, (2) die Geheimhaltung nicht irreführend ist und (3) Vertraulichkeit sichergestellt ist. Aufschubentscheidung wurde am 15.05.2026 durch den Vorstand beschlossen und ist zu dokumentieren.</w:t>
      </w:r>
    </w:p>
    <w:p>
      <w:pPr>
        <w:pStyle w:val="Heading2"/>
      </w:pPr>
      <w:r>
        <w:t>4. MAR-Compliance-Checkliste</w:t>
      </w:r>
    </w:p>
    <w:tbl>
      <w:tblPr>
        <w:tblStyle w:val="TableGrid"/>
        <w:tblW w:type="auto" w:w="0"/>
        <w:tblLook w:firstColumn="1" w:firstRow="1" w:lastColumn="0" w:lastRow="0" w:noHBand="0" w:noVBand="1" w:val="04A0"/>
      </w:tblPr>
      <w:tblGrid>
        <w:gridCol w:w="2880"/>
        <w:gridCol w:w="2880"/>
        <w:gridCol w:w="2880"/>
      </w:tblGrid>
      <w:tr>
        <w:tc>
          <w:tcPr>
            <w:tcW w:type="dxa" w:w="2880"/>
            <w:shd w:val="clear" w:color="auto" w:fill="1B3A5C"/>
          </w:tcPr>
          <w:p>
            <w:r>
              <w:rPr>
                <w:b/>
                <w:color w:val="FFFFFF"/>
                <w:sz w:val="20"/>
              </w:rPr>
              <w:t>Maßnahme</w:t>
            </w:r>
          </w:p>
        </w:tc>
        <w:tc>
          <w:tcPr>
            <w:tcW w:type="dxa" w:w="2880"/>
            <w:shd w:val="clear" w:color="auto" w:fill="1B3A5C"/>
          </w:tcPr>
          <w:p>
            <w:r>
              <w:rPr>
                <w:b/>
                <w:color w:val="FFFFFF"/>
                <w:sz w:val="20"/>
              </w:rPr>
              <w:t>Verantwortlich</w:t>
            </w:r>
          </w:p>
        </w:tc>
        <w:tc>
          <w:tcPr>
            <w:tcW w:type="dxa" w:w="2880"/>
            <w:shd w:val="clear" w:color="auto" w:fill="1B3A5C"/>
          </w:tcPr>
          <w:p>
            <w:r>
              <w:rPr>
                <w:b/>
                <w:color w:val="FFFFFF"/>
                <w:sz w:val="20"/>
              </w:rPr>
              <w:t>Status</w:t>
            </w:r>
          </w:p>
        </w:tc>
      </w:tr>
      <w:tr>
        <w:tc>
          <w:tcPr>
            <w:tcW w:type="dxa" w:w="2880"/>
          </w:tcPr>
          <w:p>
            <w:r>
              <w:rPr>
                <w:sz w:val="20"/>
              </w:rPr>
              <w:t>Aufschubentscheidung dokumentieren</w:t>
            </w:r>
          </w:p>
        </w:tc>
        <w:tc>
          <w:tcPr>
            <w:tcW w:type="dxa" w:w="2880"/>
          </w:tcPr>
          <w:p>
            <w:r>
              <w:rPr>
                <w:sz w:val="20"/>
              </w:rPr>
              <w:t>Nordstern IR + Dr. Kessler</w:t>
            </w:r>
          </w:p>
        </w:tc>
        <w:tc>
          <w:tcPr>
            <w:tcW w:type="dxa" w:w="2880"/>
          </w:tcPr>
          <w:p>
            <w:r>
              <w:rPr>
                <w:sz w:val="20"/>
              </w:rPr>
              <w:t>Offen</w:t>
            </w:r>
          </w:p>
        </w:tc>
      </w:tr>
      <w:tr>
        <w:tc>
          <w:tcPr>
            <w:tcW w:type="dxa" w:w="2880"/>
          </w:tcPr>
          <w:p>
            <w:r>
              <w:rPr>
                <w:sz w:val="20"/>
              </w:rPr>
              <w:t>Insiderliste anlegen und pflegen</w:t>
            </w:r>
          </w:p>
        </w:tc>
        <w:tc>
          <w:tcPr>
            <w:tcW w:type="dxa" w:w="2880"/>
          </w:tcPr>
          <w:p>
            <w:r>
              <w:rPr>
                <w:sz w:val="20"/>
              </w:rPr>
              <w:t>Nordstern Compliance</w:t>
            </w:r>
          </w:p>
        </w:tc>
        <w:tc>
          <w:tcPr>
            <w:tcW w:type="dxa" w:w="2880"/>
          </w:tcPr>
          <w:p>
            <w:r>
              <w:rPr>
                <w:sz w:val="20"/>
              </w:rPr>
              <w:t>Offen</w:t>
            </w:r>
          </w:p>
        </w:tc>
      </w:tr>
      <w:tr>
        <w:tc>
          <w:tcPr>
            <w:tcW w:type="dxa" w:w="2880"/>
          </w:tcPr>
          <w:p>
            <w:r>
              <w:rPr>
                <w:sz w:val="20"/>
              </w:rPr>
              <w:t>Handelsverbot kommunizieren</w:t>
            </w:r>
          </w:p>
        </w:tc>
        <w:tc>
          <w:tcPr>
            <w:tcW w:type="dxa" w:w="2880"/>
          </w:tcPr>
          <w:p>
            <w:r>
              <w:rPr>
                <w:sz w:val="20"/>
              </w:rPr>
              <w:t>Kanzlei</w:t>
            </w:r>
          </w:p>
        </w:tc>
        <w:tc>
          <w:tcPr>
            <w:tcW w:type="dxa" w:w="2880"/>
          </w:tcPr>
          <w:p>
            <w:r>
              <w:rPr>
                <w:sz w:val="20"/>
              </w:rPr>
              <w:t>Erledigt 15.05.2026</w:t>
            </w:r>
          </w:p>
        </w:tc>
      </w:tr>
      <w:tr>
        <w:tc>
          <w:tcPr>
            <w:tcW w:type="dxa" w:w="2880"/>
          </w:tcPr>
          <w:p>
            <w:r>
              <w:rPr>
                <w:sz w:val="20"/>
              </w:rPr>
              <w:t>Ad-hoc-Mitteilungsentwurf freigeben</w:t>
            </w:r>
          </w:p>
        </w:tc>
        <w:tc>
          <w:tcPr>
            <w:tcW w:type="dxa" w:w="2880"/>
          </w:tcPr>
          <w:p>
            <w:r>
              <w:rPr>
                <w:sz w:val="20"/>
              </w:rPr>
              <w:t>Nordstern Vorstand</w:t>
            </w:r>
          </w:p>
        </w:tc>
        <w:tc>
          <w:tcPr>
            <w:tcW w:type="dxa" w:w="2880"/>
          </w:tcPr>
          <w:p>
            <w:r>
              <w:rPr>
                <w:sz w:val="20"/>
              </w:rPr>
              <w:t>In Bearbeitung</w:t>
            </w:r>
          </w:p>
        </w:tc>
      </w:tr>
      <w:tr>
        <w:tc>
          <w:tcPr>
            <w:tcW w:type="dxa" w:w="2880"/>
          </w:tcPr>
          <w:p>
            <w:r>
              <w:rPr>
                <w:sz w:val="20"/>
              </w:rPr>
              <w:t>Veröffentlichung DPA-AFX nach Closing</w:t>
            </w:r>
          </w:p>
        </w:tc>
        <w:tc>
          <w:tcPr>
            <w:tcW w:type="dxa" w:w="2880"/>
          </w:tcPr>
          <w:p>
            <w:r>
              <w:rPr>
                <w:sz w:val="20"/>
              </w:rPr>
              <w:t>Nordstern IR</w:t>
            </w:r>
          </w:p>
        </w:tc>
        <w:tc>
          <w:tcPr>
            <w:tcW w:type="dxa" w:w="2880"/>
          </w:tcPr>
          <w:p>
            <w:r>
              <w:rPr>
                <w:sz w:val="20"/>
              </w:rPr>
              <w:t>Closing-Tag</w:t>
            </w:r>
          </w:p>
        </w:tc>
      </w:tr>
      <w:tr>
        <w:tc>
          <w:tcPr>
            <w:tcW w:type="dxa" w:w="2880"/>
          </w:tcPr>
          <w:p>
            <w:r>
              <w:rPr>
                <w:sz w:val="20"/>
              </w:rPr>
              <w:t>Insiderliste 5 Jahre aufbewahren</w:t>
            </w:r>
          </w:p>
        </w:tc>
        <w:tc>
          <w:tcPr>
            <w:tcW w:type="dxa" w:w="2880"/>
          </w:tcPr>
          <w:p>
            <w:r>
              <w:rPr>
                <w:sz w:val="20"/>
              </w:rPr>
              <w:t>Nordstern Compliance</w:t>
            </w:r>
          </w:p>
        </w:tc>
        <w:tc>
          <w:tcPr>
            <w:tcW w:type="dxa" w:w="2880"/>
          </w:tcPr>
          <w:p>
            <w:r>
              <w:rPr>
                <w:sz w:val="20"/>
              </w:rPr>
              <w:t>Post-Closing</w:t>
            </w:r>
          </w:p>
        </w:tc>
      </w:tr>
    </w:tbl>
    <w:p/>
    <w:p>
      <w:r>
        <w:rPr>
          <w:i/>
        </w:rPr>
        <w:t>Aktenvermerk-Nr.: AV-MAR-2026-001 | Vertraulich — Rechtsanwaltsprivileg</w:t>
      </w:r>
    </w:p>
    <w:sectPr w:rsidR="00FC693F" w:rsidRPr="0006063C" w:rsidSect="00034616">
      <w:headerReference w:type="default" r:id="rId9"/>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rPr>
        <w:sz w:val="18"/>
      </w:rPr>
      <w:t>Az.: MA-2026-SF-001</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