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color w:val="555555"/>
          <w:sz w:val="20"/>
        </w:rPr>
        <w:t>Kanzlei für Unternehmenstransaktionen · Frankfurt am Main</w:t>
      </w:r>
    </w:p>
    <w:p>
      <w:pPr>
        <w:pStyle w:val="Heading1"/>
      </w:pPr>
      <w:r>
        <w:rPr>
          <w:color w:val="000000"/>
          <w:sz w:val="28"/>
        </w:rPr>
        <w:t>W&amp;I-Versicherungs-Memo — Projekt Silberfalke</w:t>
      </w:r>
    </w:p>
    <w:p/>
    <w:p>
      <w:r>
        <w:rPr>
          <w:b/>
        </w:rPr>
        <w:t xml:space="preserve">Aktenzeichen: </w:t>
      </w:r>
      <w:r>
        <w:t>MA-2026-SF-001</w:t>
        <w:br/>
      </w:r>
      <w:r>
        <w:rPr>
          <w:b/>
        </w:rPr>
        <w:t xml:space="preserve">Verfasser: </w:t>
      </w:r>
      <w:r>
        <w:t>Counsel B</w:t>
        <w:br/>
      </w:r>
      <w:r>
        <w:rPr>
          <w:b/>
        </w:rPr>
        <w:t xml:space="preserve">Datum: </w:t>
      </w:r>
      <w:r>
        <w:t>15.05.2026</w:t>
        <w:br/>
      </w:r>
      <w:r>
        <w:rPr>
          <w:b/>
        </w:rPr>
        <w:t xml:space="preserve">Adressat: </w:t>
      </w:r>
      <w:r>
        <w:t>Eagle Capital Partners / BlueSky Re</w:t>
      </w:r>
    </w:p>
    <w:p>
      <w:pPr>
        <w:pStyle w:val="Heading2"/>
      </w:pPr>
      <w:r>
        <w:t>1. W&amp;I-Versicherungsstruktur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1B3A5C"/>
          </w:tcPr>
          <w:p>
            <w:r>
              <w:rPr>
                <w:b/>
                <w:color w:val="FFFFFF"/>
                <w:sz w:val="20"/>
              </w:rPr>
              <w:t>Parameter</w:t>
            </w:r>
          </w:p>
        </w:tc>
        <w:tc>
          <w:tcPr>
            <w:tcW w:type="dxa" w:w="4320"/>
            <w:shd w:val="clear" w:color="auto" w:fill="1B3A5C"/>
          </w:tcPr>
          <w:p>
            <w:r>
              <w:rPr>
                <w:b/>
                <w:color w:val="FFFFFF"/>
                <w:sz w:val="20"/>
              </w:rPr>
              <w:t>Wert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Versicherungsart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Buy-side Policy (Eagle als VN)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Policenlimit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EUR 18.000.000 (10 % EV)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Selbstbehalt (Retention)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EUR 1.800.000 (Tipping Basket, 1 % EV)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Versicherungsprämie (geschätzt)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EUR 540.000 (ca. 3 % des Limits)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Laufzeit Business Warranties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3 Jahre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Laufzeit Titel-Warranties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7 Jahre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Rückgriff Verkäufer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Kein Rückgriff (Clean Exit) für Business Warranties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Versicherer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BlueSky Re, London (Makler: Altius GmbH, Frankfurt)</w:t>
            </w:r>
          </w:p>
        </w:tc>
      </w:tr>
    </w:tbl>
    <w:p>
      <w:pPr>
        <w:pStyle w:val="Heading2"/>
      </w:pPr>
      <w:r>
        <w:t>2. Underwriting-Zeitplan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1B3A5C"/>
          </w:tcPr>
          <w:p>
            <w:r>
              <w:rPr>
                <w:b/>
                <w:color w:val="FFFFFF"/>
                <w:sz w:val="20"/>
              </w:rPr>
              <w:t>Schritt</w:t>
            </w:r>
          </w:p>
        </w:tc>
        <w:tc>
          <w:tcPr>
            <w:tcW w:type="dxa" w:w="4320"/>
            <w:shd w:val="clear" w:color="auto" w:fill="1B3A5C"/>
          </w:tcPr>
          <w:p>
            <w:r>
              <w:rPr>
                <w:b/>
                <w:color w:val="FFFFFF"/>
                <w:sz w:val="20"/>
              </w:rPr>
              <w:t>Datum</w:t>
            </w:r>
          </w:p>
        </w:tc>
      </w:tr>
      <w:tr>
        <w:tc>
          <w:tcPr>
            <w:tcW w:type="dxa" w:w="4320"/>
          </w:tcPr>
          <w:p>
            <w:r>
              <w:rPr>
                <w:sz w:val="20"/>
              </w:rPr>
              <w:t>Nicht-bindende Indikation BlueSky Re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10.05.2026</w:t>
            </w:r>
          </w:p>
        </w:tc>
      </w:tr>
      <w:tr>
        <w:tc>
          <w:tcPr>
            <w:tcW w:type="dxa" w:w="4320"/>
          </w:tcPr>
          <w:p>
            <w:r>
              <w:rPr>
                <w:sz w:val="20"/>
              </w:rPr>
              <w:t>Signing SPA / W&amp;I-Antrag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15.05.2026</w:t>
            </w:r>
          </w:p>
        </w:tc>
      </w:tr>
      <w:tr>
        <w:tc>
          <w:tcPr>
            <w:tcW w:type="dxa" w:w="4320"/>
          </w:tcPr>
          <w:p>
            <w:r>
              <w:rPr>
                <w:sz w:val="20"/>
              </w:rPr>
              <w:t>Einreichung Underwriting Pack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30.05.2026 (Ziel)</w:t>
            </w:r>
          </w:p>
        </w:tc>
      </w:tr>
      <w:tr>
        <w:tc>
          <w:tcPr>
            <w:tcW w:type="dxa" w:w="4320"/>
          </w:tcPr>
          <w:p>
            <w:r>
              <w:rPr>
                <w:sz w:val="20"/>
              </w:rPr>
              <w:t>Underwriting Call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05.06.2026 (geplant)</w:t>
            </w:r>
          </w:p>
        </w:tc>
      </w:tr>
      <w:tr>
        <w:tc>
          <w:tcPr>
            <w:tcW w:type="dxa" w:w="4320"/>
          </w:tcPr>
          <w:p>
            <w:r>
              <w:rPr>
                <w:sz w:val="20"/>
              </w:rPr>
              <w:t>Bindende Policy / Binder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15.06.2026 (Ziel)</w:t>
            </w:r>
          </w:p>
        </w:tc>
      </w:tr>
      <w:tr>
        <w:tc>
          <w:tcPr>
            <w:tcW w:type="dxa" w:w="4320"/>
          </w:tcPr>
          <w:p>
            <w:r>
              <w:rPr>
                <w:sz w:val="20"/>
              </w:rPr>
              <w:t>Closing (Policy tritt in Kraft)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15.09.2026</w:t>
            </w:r>
          </w:p>
        </w:tc>
      </w:tr>
    </w:tbl>
    <w:p>
      <w:pPr>
        <w:pStyle w:val="Heading2"/>
      </w:pPr>
      <w:r>
        <w:t>3. Risikoanalyse — Underwriting-relevante Punkte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color="auto" w:fill="1B3A5C"/>
          </w:tcPr>
          <w:p>
            <w:r>
              <w:rPr>
                <w:b/>
                <w:color w:val="FFFFFF"/>
                <w:sz w:val="20"/>
              </w:rPr>
              <w:t>Risiko</w:t>
            </w:r>
          </w:p>
        </w:tc>
        <w:tc>
          <w:tcPr>
            <w:tcW w:type="dxa" w:w="2880"/>
            <w:shd w:val="clear" w:color="auto" w:fill="1B3A5C"/>
          </w:tcPr>
          <w:p>
            <w:r>
              <w:rPr>
                <w:b/>
                <w:color w:val="FFFFFF"/>
                <w:sz w:val="20"/>
              </w:rPr>
              <w:t>Quelle</w:t>
            </w:r>
          </w:p>
        </w:tc>
        <w:tc>
          <w:tcPr>
            <w:tcW w:type="dxa" w:w="2880"/>
            <w:shd w:val="clear" w:color="auto" w:fill="1B3A5C"/>
          </w:tcPr>
          <w:p>
            <w:r>
              <w:rPr>
                <w:b/>
                <w:color w:val="FFFFFF"/>
                <w:sz w:val="20"/>
              </w:rPr>
              <w:t>Empfehlung</w:t>
            </w:r>
          </w:p>
        </w:tc>
      </w:tr>
      <w:tr>
        <w:tc>
          <w:tcPr>
            <w:tcW w:type="dxa" w:w="2880"/>
          </w:tcPr>
          <w:p>
            <w:r>
              <w:rPr>
                <w:sz w:val="20"/>
              </w:rPr>
              <w:t>Delta Service GmbH: Liquiditätsengpass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StaRUG-Memo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Separater Escrow-Topf statt W&amp;I</w:t>
            </w:r>
          </w:p>
        </w:tc>
      </w:tr>
      <w:tr>
        <w:tc>
          <w:tcPr>
            <w:tcW w:type="dxa" w:w="2880"/>
          </w:tcPr>
          <w:p>
            <w:r>
              <w:rPr>
                <w:sz w:val="20"/>
              </w:rPr>
              <w:t>Müller Antriebstechnik: Kündigungsrisiko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OCM OC-E-001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Im Disclosure Letter festhalten</w:t>
            </w:r>
          </w:p>
        </w:tc>
      </w:tr>
      <w:tr>
        <w:tc>
          <w:tcPr>
            <w:tcW w:type="dxa" w:w="2880"/>
          </w:tcPr>
          <w:p>
            <w:r>
              <w:rPr>
                <w:sz w:val="20"/>
              </w:rPr>
              <w:t>Aero Nordic: CoC-Consent ausstehend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CP-14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Bedingter Deckungsausschluss bis Consent</w:t>
            </w:r>
          </w:p>
        </w:tc>
      </w:tr>
      <w:tr>
        <w:tc>
          <w:tcPr>
            <w:tcW w:type="dxa" w:w="2880"/>
          </w:tcPr>
          <w:p>
            <w:r>
              <w:rPr>
                <w:sz w:val="20"/>
              </w:rPr>
              <w:t>ITAR-Self-Assessment ausstehend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Regulatory Map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Exportkontrollausschluss droht</w:t>
            </w:r>
          </w:p>
        </w:tc>
      </w:tr>
      <w:tr>
        <w:tc>
          <w:tcPr>
            <w:tcW w:type="dxa" w:w="2880"/>
          </w:tcPr>
          <w:p>
            <w:r>
              <w:rPr>
                <w:sz w:val="20"/>
              </w:rPr>
              <w:t>Rangrücktritt GGD nur Entwurf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DD-Bericht</w:t>
            </w:r>
          </w:p>
        </w:tc>
        <w:tc>
          <w:tcPr>
            <w:tcW w:type="dxa" w:w="2880"/>
          </w:tcPr>
          <w:p>
            <w:r>
              <w:rPr>
                <w:sz w:val="20"/>
              </w:rPr>
              <w:t>Als bekannte Lücke offenlegen</w:t>
            </w:r>
          </w:p>
        </w:tc>
      </w:tr>
    </w:tbl>
    <w:p>
      <w:pPr>
        <w:pStyle w:val="Heading2"/>
      </w:pPr>
      <w:r>
        <w:t>4. Empfehlungen</w:t>
      </w:r>
    </w:p>
    <w:p>
      <w:pPr>
        <w:pStyle w:val="ListBullet"/>
      </w:pPr>
      <w:r>
        <w:t>Delta-Service-Risiko über separaten Escrow-Topf (EUR 2 Mio., 24 Monate) absichern</w:t>
      </w:r>
    </w:p>
    <w:p>
      <w:pPr>
        <w:pStyle w:val="ListBullet"/>
      </w:pPr>
      <w:r>
        <w:t>ITAR-Clearance vor Underwriting Call vorlegen</w:t>
      </w:r>
    </w:p>
    <w:p>
      <w:pPr>
        <w:pStyle w:val="ListBullet"/>
      </w:pPr>
      <w:r>
        <w:t>KI-DD-Transparenzlog vollständig an Underwriter übergeben</w:t>
      </w:r>
    </w:p>
    <w:p>
      <w:pPr>
        <w:pStyle w:val="ListBullet"/>
      </w:pPr>
      <w:r>
        <w:t>Tax DD abschließen, damit kein vollständiger Steuerausschluss nötig ist</w:t>
      </w:r>
    </w:p>
    <w:p>
      <w:pPr>
        <w:pStyle w:val="ListBullet"/>
      </w:pPr>
      <w:r>
        <w:t>Underwriting Pack bis 30.05.2026 fertigstellen</w:t>
      </w:r>
    </w:p>
    <w:p/>
    <w:p>
      <w:r>
        <w:rPr>
          <w:i/>
        </w:rPr>
        <w:t>Aktenvermerk-Nr.: AV-WI-2026-001 | Privileged &amp; Confidential</w:t>
      </w:r>
    </w:p>
    <w:sectPr w:rsidR="00FC693F" w:rsidRPr="0006063C" w:rsidSect="00034616">
      <w:head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sz w:val="18"/>
      </w:rPr>
      <w:t>Az.: MA-2026-SF-001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