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color w:val="555555"/>
          <w:sz w:val="20"/>
        </w:rPr>
        <w:t>Kanzlei für Unternehmenstransaktionen · Frankfurt am Main</w:t>
      </w:r>
    </w:p>
    <w:p>
      <w:pPr>
        <w:pStyle w:val="Heading1"/>
      </w:pPr>
      <w:r>
        <w:rPr>
          <w:color w:val="000000"/>
          <w:sz w:val="28"/>
        </w:rPr>
        <w:t>Insolvenzreife-Check — Delta Service GmbH</w:t>
      </w:r>
    </w:p>
    <w:p/>
    <w:p>
      <w:r>
        <w:rPr>
          <w:b/>
        </w:rPr>
        <w:t xml:space="preserve">Aktenzeichen: </w:t>
      </w:r>
      <w:r>
        <w:t>MA-2026-SF-001-R</w:t>
        <w:br/>
      </w:r>
      <w:r>
        <w:rPr>
          <w:b/>
        </w:rPr>
        <w:t xml:space="preserve">Verfasser: </w:t>
      </w:r>
      <w:r>
        <w:t>Counsel D (Restrukturierung)</w:t>
        <w:br/>
      </w:r>
      <w:r>
        <w:rPr>
          <w:b/>
        </w:rPr>
        <w:t xml:space="preserve">Datum: </w:t>
      </w:r>
      <w:r>
        <w:t>15.05.2026</w:t>
        <w:br/>
      </w:r>
      <w:r>
        <w:rPr>
          <w:b/>
        </w:rPr>
        <w:t xml:space="preserve">Gesellschaft: </w:t>
      </w:r>
      <w:r>
        <w:t>Delta Service GmbH, Essen (100%-Tochter Solaris Industries AG)</w:t>
      </w:r>
    </w:p>
    <w:p>
      <w:r>
        <w:rPr>
          <w:b/>
          <w:color w:val="C00000"/>
        </w:rPr>
        <w:t>⚠ Grundsatz: Dieser Check gibt nicht 'grün', wenn Datenlücken bestehen. Fehlende Informationen werden als Risikopositionen ausgewiesen.</w:t>
      </w:r>
    </w:p>
    <w:p>
      <w:pPr>
        <w:pStyle w:val="Heading2"/>
      </w:pPr>
      <w:r>
        <w:t>1. Ausgangsdaten (Stichtag 15.05.2026)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1B3A5C"/>
          </w:tcPr>
          <w:p>
            <w:r>
              <w:rPr>
                <w:b/>
                <w:color w:val="FFFFFF"/>
                <w:sz w:val="20"/>
              </w:rPr>
              <w:t>Position</w:t>
            </w:r>
          </w:p>
        </w:tc>
        <w:tc>
          <w:tcPr>
            <w:tcW w:type="dxa" w:w="2880"/>
            <w:shd w:val="clear" w:color="auto" w:fill="1B3A5C"/>
          </w:tcPr>
          <w:p>
            <w:r>
              <w:rPr>
                <w:b/>
                <w:color w:val="FFFFFF"/>
                <w:sz w:val="20"/>
              </w:rPr>
              <w:t>Betrag (EUR)</w:t>
            </w:r>
          </w:p>
        </w:tc>
        <w:tc>
          <w:tcPr>
            <w:tcW w:type="dxa" w:w="2880"/>
            <w:shd w:val="clear" w:color="auto" w:fill="1B3A5C"/>
          </w:tcPr>
          <w:p>
            <w:r>
              <w:rPr>
                <w:b/>
                <w:color w:val="FFFFFF"/>
                <w:sz w:val="20"/>
              </w:rPr>
              <w:t>Anmerkung</w:t>
            </w:r>
          </w:p>
        </w:tc>
      </w:tr>
      <w:tr>
        <w:tc>
          <w:tcPr>
            <w:tcW w:type="dxa" w:w="2880"/>
          </w:tcPr>
          <w:p>
            <w:r>
              <w:rPr>
                <w:b/>
                <w:sz w:val="20"/>
              </w:rPr>
              <w:t>Bankguthaben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840.000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Kontoauszug v. 15.05.2026</w:t>
            </w:r>
          </w:p>
        </w:tc>
      </w:tr>
      <w:tr>
        <w:tc>
          <w:tcPr>
            <w:tcW w:type="dxa" w:w="2880"/>
          </w:tcPr>
          <w:p>
            <w:r>
              <w:rPr>
                <w:b/>
                <w:sz w:val="20"/>
              </w:rPr>
              <w:t>Kreditlinie (nominal)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300.000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Covenant-Waiver offen — NICHT anrechenbar</w:t>
            </w:r>
          </w:p>
        </w:tc>
      </w:tr>
      <w:tr>
        <w:tc>
          <w:tcPr>
            <w:tcW w:type="dxa" w:w="2880"/>
          </w:tcPr>
          <w:p>
            <w:r>
              <w:rPr>
                <w:b/>
                <w:sz w:val="20"/>
              </w:rPr>
              <w:t>Effektiv verfügbar (konservativ)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840.000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Kreditlinie nicht gezogen</w:t>
            </w:r>
          </w:p>
        </w:tc>
      </w:tr>
      <w:tr>
        <w:tc>
          <w:tcPr>
            <w:tcW w:type="dxa" w:w="2880"/>
          </w:tcPr>
          <w:p>
            <w:r>
              <w:rPr>
                <w:b/>
                <w:sz w:val="20"/>
              </w:rPr>
              <w:t>Überfällige Lieferantenverbindlichkeiten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410.000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Buchhaltung, &gt; 30 Tage</w:t>
            </w:r>
          </w:p>
        </w:tc>
      </w:tr>
      <w:tr>
        <w:tc>
          <w:tcPr>
            <w:tcW w:type="dxa" w:w="2880"/>
          </w:tcPr>
          <w:p>
            <w:r>
              <w:rPr>
                <w:b/>
                <w:sz w:val="20"/>
              </w:rPr>
              <w:t>Bestrittene Großkunden-Forderung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180.000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Nicht als Eingang wertbar</w:t>
            </w:r>
          </w:p>
        </w:tc>
      </w:tr>
    </w:tbl>
    <w:p>
      <w:pPr>
        <w:pStyle w:val="Heading2"/>
      </w:pPr>
      <w:r>
        <w:t>2. Gesamtergebnis Dreistufenprüfung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1B3A5C"/>
          </w:tcPr>
          <w:p>
            <w:r>
              <w:rPr>
                <w:b/>
                <w:color w:val="FFFFFF"/>
                <w:sz w:val="20"/>
              </w:rPr>
              <w:t>Insolvenztatbestand</w:t>
            </w:r>
          </w:p>
        </w:tc>
        <w:tc>
          <w:tcPr>
            <w:tcW w:type="dxa" w:w="2880"/>
            <w:shd w:val="clear" w:color="auto" w:fill="1B3A5C"/>
          </w:tcPr>
          <w:p>
            <w:r>
              <w:rPr>
                <w:b/>
                <w:color w:val="FFFFFF"/>
                <w:sz w:val="20"/>
              </w:rPr>
              <w:t>Ergebnis</w:t>
            </w:r>
          </w:p>
        </w:tc>
        <w:tc>
          <w:tcPr>
            <w:tcW w:type="dxa" w:w="2880"/>
            <w:shd w:val="clear" w:color="auto" w:fill="1B3A5C"/>
          </w:tcPr>
          <w:p>
            <w:r>
              <w:rPr>
                <w:b/>
                <w:color w:val="FFFFFF"/>
                <w:sz w:val="20"/>
              </w:rPr>
              <w:t>Begründung</w:t>
            </w:r>
          </w:p>
        </w:tc>
      </w:tr>
      <w:tr>
        <w:tc>
          <w:tcPr>
            <w:tcW w:type="dxa" w:w="2880"/>
          </w:tcPr>
          <w:p>
            <w:r>
              <w:rPr>
                <w:sz w:val="20"/>
              </w:rPr>
              <w:t>§ 17 InsO Zahlungsunfähigkeit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Nein (aktuell)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Bankguthaben reicht noch — knapp</w:t>
            </w:r>
          </w:p>
        </w:tc>
      </w:tr>
      <w:tr>
        <w:tc>
          <w:tcPr>
            <w:tcW w:type="dxa" w:w="2880"/>
          </w:tcPr>
          <w:p>
            <w:r>
              <w:rPr>
                <w:sz w:val="20"/>
              </w:rPr>
              <w:t>§ 18 InsO drohende Zahlungsunfähigkeit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JA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Negativsaldo ab KW 26 (Anfang Juli 2026)</w:t>
            </w:r>
          </w:p>
        </w:tc>
      </w:tr>
      <w:tr>
        <w:tc>
          <w:tcPr>
            <w:tcW w:type="dxa" w:w="2880"/>
          </w:tcPr>
          <w:p>
            <w:r>
              <w:rPr>
                <w:sz w:val="20"/>
              </w:rPr>
              <w:t>§ 19 InsO Überschuldung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Unklar — Datenlücken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Rangrücktritt + Fortbestehensprognose fehlen</w:t>
            </w:r>
          </w:p>
        </w:tc>
      </w:tr>
    </w:tbl>
    <w:p>
      <w:pPr>
        <w:pStyle w:val="Heading2"/>
      </w:pPr>
      <w:r>
        <w:t>3. Kritische Nachforderungsliste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1B3A5C"/>
          </w:tcPr>
          <w:p>
            <w:r>
              <w:rPr>
                <w:b/>
                <w:color w:val="FFFFFF"/>
                <w:sz w:val="20"/>
              </w:rPr>
              <w:t>Nachforderung</w:t>
            </w:r>
          </w:p>
        </w:tc>
        <w:tc>
          <w:tcPr>
            <w:tcW w:type="dxa" w:w="4320"/>
            <w:shd w:val="clear" w:color="auto" w:fill="1B3A5C"/>
          </w:tcPr>
          <w:p>
            <w:r>
              <w:rPr>
                <w:b/>
                <w:color w:val="FFFFFF"/>
                <w:sz w:val="20"/>
              </w:rPr>
              <w:t>Frist</w:t>
            </w:r>
          </w:p>
        </w:tc>
      </w:tr>
      <w:tr>
        <w:tc>
          <w:tcPr>
            <w:tcW w:type="dxa" w:w="4320"/>
          </w:tcPr>
          <w:p>
            <w:r>
              <w:rPr>
                <w:sz w:val="20"/>
              </w:rPr>
              <w:t>Covenant-Waiver DKB AG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20.05.2026</w:t>
            </w:r>
          </w:p>
        </w:tc>
      </w:tr>
      <w:tr>
        <w:tc>
          <w:tcPr>
            <w:tcW w:type="dxa" w:w="4320"/>
          </w:tcPr>
          <w:p>
            <w:r>
              <w:rPr>
                <w:sz w:val="20"/>
              </w:rPr>
              <w:t>Lieferantenstatus klären (Lieferstoppdrohung)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17.05.2026</w:t>
            </w:r>
          </w:p>
        </w:tc>
      </w:tr>
      <w:tr>
        <w:tc>
          <w:tcPr>
            <w:tcW w:type="dxa" w:w="4320"/>
          </w:tcPr>
          <w:p>
            <w:r>
              <w:rPr>
                <w:sz w:val="20"/>
              </w:rPr>
              <w:t>Rangrücktritt Gesellschafterdarlehen finalisieren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30.05.2026</w:t>
            </w:r>
          </w:p>
        </w:tc>
      </w:tr>
      <w:tr>
        <w:tc>
          <w:tcPr>
            <w:tcW w:type="dxa" w:w="4320"/>
          </w:tcPr>
          <w:p>
            <w:r>
              <w:rPr>
                <w:sz w:val="20"/>
              </w:rPr>
              <w:t>Fortbestehensprognose formal beschließen (GF + WP)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01.06.2026</w:t>
            </w:r>
          </w:p>
        </w:tc>
      </w:tr>
      <w:tr>
        <w:tc>
          <w:tcPr>
            <w:tcW w:type="dxa" w:w="4320"/>
          </w:tcPr>
          <w:p>
            <w:r>
              <w:rPr>
                <w:sz w:val="20"/>
              </w:rPr>
              <w:t>24-Monats-Plan anfordern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30.05.2026</w:t>
            </w:r>
          </w:p>
        </w:tc>
      </w:tr>
      <w:tr>
        <w:tc>
          <w:tcPr>
            <w:tcW w:type="dxa" w:w="4320"/>
          </w:tcPr>
          <w:p>
            <w:r>
              <w:rPr>
                <w:sz w:val="20"/>
              </w:rPr>
              <w:t>Großkunden-Forderung EUR 180.000 eskalieren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17.05.2026</w:t>
            </w:r>
          </w:p>
        </w:tc>
      </w:tr>
    </w:tbl>
    <w:p>
      <w:pPr>
        <w:pStyle w:val="Heading2"/>
      </w:pPr>
      <w:r>
        <w:t>4. Haftungsrisiken Geschäftsführung</w:t>
      </w:r>
    </w:p>
    <w:p>
      <w:r>
        <w:t>Bei eingetretener Zahlungsunfähigkeit oder Überschuldung sind die Geschäftsführer verpflichtet, ohne schuldhaftes Zögern (§ 15a InsO), spätestens aber binnen 3 Wochen, Insolvenzantrag zu stellen. Eine Insolvenzverschleppung begründet strafrechtliche (§ 15a Abs. 4 InsO) und zivilrechtliche Haftung (§ 15b InsO, § 823 Abs. 2 BGB). Für die Transaktion gilt: MAC-Risiko, wenn Delta Service GmbH insolvent wird.</w:t>
      </w:r>
    </w:p>
    <w:p/>
    <w:p>
      <w:r>
        <w:rPr>
          <w:i/>
        </w:rPr>
        <w:t>Aktenvermerk-Nr.: AV-INSO-2026-001 | Privileged &amp; Confidential</w:t>
      </w:r>
    </w:p>
    <w:sectPr w:rsidR="00FC693F" w:rsidRPr="0006063C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sz w:val="18"/>
      </w:rPr>
      <w:t>Az.: MA-2026-SF-001-R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