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>
      <w:pPr>
        <w:jc w:val="left"/>
      </w:pPr>
      <w:r>
        <w:rPr>
          <w:rFonts w:ascii="Calibri" w:hAnsi="Calibri"/>
          <w:b/>
          <w:sz w:val="28"/>
        </w:rPr>
        <w:t>FORDERUNGSANMELDUNG</w:t>
      </w:r>
    </w:p>
    <w:p>
      <w:r>
        <w:rPr>
          <w:rFonts w:ascii="Calibri" w:hAnsi="Calibri"/>
          <w:b/>
          <w:sz w:val="24"/>
        </w:rPr>
        <w:t>gemäß § 174 InsO – Darlehen mit Absonderungsrecht</w:t>
      </w:r>
    </w:p>
    <w:p/>
    <w:p>
      <w:r>
        <w:rPr>
          <w:b/>
          <w:sz w:val="24"/>
        </w:rPr>
        <w:t>Insolvenzverfahren Phoenix Solar Montage GmbH</w:t>
      </w:r>
    </w:p>
    <w:p>
      <w:r>
        <w:rPr>
          <w:sz w:val="22"/>
        </w:rPr>
        <w:t>Az. 35 IN 417/26 · Amtsgericht Potsdam · Insolvenzgericht</w:t>
      </w:r>
    </w:p>
    <w:p>
      <w:r>
        <w:rPr>
          <w:color w:val="CCCCCC"/>
          <w:sz w:val="16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rFonts w:ascii="Calibri" w:hAnsi="Calibri"/>
          <w:b/>
          <w:sz w:val="24"/>
        </w:rPr>
        <w:t>I. Gläubigerin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18"/>
              </w:rPr>
              <w:t>Feld</w:t>
            </w:r>
          </w:p>
        </w:tc>
        <w:tc>
          <w:tcPr>
            <w:tcW w:type="dxa" w:w="4320"/>
          </w:tcPr>
          <w:p>
            <w:r>
              <w:rPr>
                <w:b/>
                <w:sz w:val="18"/>
              </w:rPr>
              <w:t>Angabe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Gläubigerin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Havelbank AG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Anschrift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Berliner Straße 4, 14467 Potsdam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Vertreter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RAin Sandra Kühn, Friedrich-Ebert-Straße 3, 14467 Potsdam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Darlehenskonto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HB-44-901</w:t>
            </w:r>
          </w:p>
        </w:tc>
      </w:tr>
    </w:tbl>
    <w:p/>
    <w:p>
      <w:r>
        <w:rPr>
          <w:rFonts w:ascii="Calibri" w:hAnsi="Calibri"/>
          <w:b/>
          <w:sz w:val="24"/>
        </w:rPr>
        <w:t>II. Hauptforderung – Darlehensrückstand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18"/>
              </w:rPr>
              <w:t>Position</w:t>
            </w:r>
          </w:p>
        </w:tc>
        <w:tc>
          <w:tcPr>
            <w:tcW w:type="dxa" w:w="4320"/>
          </w:tcPr>
          <w:p>
            <w:r>
              <w:rPr>
                <w:b/>
                <w:sz w:val="18"/>
              </w:rPr>
              <w:t>Betrag (EUR)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Darlehensnominalbetrag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200.000,00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Tilgungsleistungen bis 28.02.2026 (16 Raten à 3.125,00 EUR)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– 50.000,00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Offene Hauptforderung zum 30.04.2026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150.000,00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Zinsen 01.01.–30.04.2026 (9,50 % p.a., angemeldet)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3.562,50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Kosten (Kontoführung, Kündigung)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120,00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GESAMT ANGEMELDET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153.682,50</w:t>
            </w:r>
          </w:p>
        </w:tc>
      </w:tr>
    </w:tbl>
    <w:p/>
    <w:p>
      <w:r>
        <w:rPr>
          <w:rFonts w:ascii="Calibri" w:hAnsi="Calibri"/>
          <w:b/>
          <w:sz w:val="24"/>
        </w:rPr>
        <w:t>III. Absonderungsrecht – Sicherungsübereignung</w:t>
      </w:r>
    </w:p>
    <w:p>
      <w:r>
        <w:t>Die Havelbank AG ist Sicherungseigentümerin folgender Gegenstände (Sicherungsübereignungsvertrag 15.08.2024):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  <w:sz w:val="18"/>
              </w:rPr>
              <w:t>Gegenstand</w:t>
            </w:r>
          </w:p>
        </w:tc>
        <w:tc>
          <w:tcPr>
            <w:tcW w:type="dxa" w:w="2880"/>
          </w:tcPr>
          <w:p>
            <w:r>
              <w:rPr>
                <w:b/>
                <w:sz w:val="18"/>
              </w:rPr>
              <w:t>Beschreibung</w:t>
            </w:r>
          </w:p>
        </w:tc>
        <w:tc>
          <w:tcPr>
            <w:tcW w:type="dxa" w:w="2880"/>
          </w:tcPr>
          <w:p>
            <w:r>
              <w:rPr>
                <w:b/>
                <w:sz w:val="18"/>
              </w:rPr>
              <w:t>Ursprüngl. Zeitwert (EUR)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Montagefahrzeug 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VW Crafter L2 H2, EZ 02/2023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42.000,00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Montagefahrzeug 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Ford Transit, EZ 08/2022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28.000,00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Hubarbeitsbühne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Ruthmann T 210, EZ 2021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35.000,00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Lagerbestand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Kabel, Module, Träger laut LV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18.000,00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Gesamt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123.000,00</w:t>
            </w:r>
          </w:p>
        </w:tc>
      </w:tr>
    </w:tbl>
    <w:p/>
    <w:p>
      <w:r>
        <w:t>Hinweis: Aktuelle Bewertung der Sicherungsgüter und Bezifferung des Verwertungsausfalls werden nachgereicht (Sachverständigenbeauftragung läuft).</w:t>
      </w:r>
    </w:p>
    <w:p/>
    <w:p>
      <w:r>
        <w:rPr>
          <w:rFonts w:ascii="Calibri" w:hAnsi="Calibri"/>
          <w:b/>
          <w:sz w:val="24"/>
        </w:rPr>
        <w:t>IV. Rang</w:t>
      </w:r>
    </w:p>
    <w:p>
      <w:r>
        <w:t>Insoweit Forderung durch Sicherungserlös gedeckt: Absonderungsrecht (§ 51 Nr. 1 InsO). Ausfall als einfache Insolvenzforderung gemäß § 38 InsO.</w:t>
      </w:r>
    </w:p>
    <w:p/>
    <w:p>
      <w:r>
        <w:rPr>
          <w:rFonts w:ascii="Calibri" w:hAnsi="Calibri"/>
          <w:b/>
          <w:sz w:val="24"/>
        </w:rPr>
        <w:t>V. Anlagen</w:t>
      </w:r>
    </w:p>
    <w:p>
      <w:pPr>
        <w:pStyle w:val="ListBullet"/>
      </w:pPr>
      <w:r>
        <w:t>B1: Darlehensvertrag HB-44-901 vom 15.08.2024</w:t>
      </w:r>
    </w:p>
    <w:p>
      <w:pPr>
        <w:pStyle w:val="ListBullet"/>
      </w:pPr>
      <w:r>
        <w:t>B2: Mahnschreiben 10.03.2026</w:t>
      </w:r>
    </w:p>
    <w:p>
      <w:pPr>
        <w:pStyle w:val="ListBullet"/>
      </w:pPr>
      <w:r>
        <w:t>B3: Mahnschreiben 02.04.2026</w:t>
      </w:r>
    </w:p>
    <w:p>
      <w:pPr>
        <w:pStyle w:val="ListBullet"/>
      </w:pPr>
      <w:r>
        <w:t>B4: Kündigungsschreiben 18.04.2026</w:t>
      </w:r>
    </w:p>
    <w:p>
      <w:pPr>
        <w:pStyle w:val="ListBullet"/>
      </w:pPr>
      <w:r>
        <w:t>B5: Sicherungsübereignungsvertrag 15.08.2024</w:t>
      </w:r>
    </w:p>
    <w:p>
      <w:pPr>
        <w:pStyle w:val="ListBullet"/>
      </w:pPr>
      <w:r>
        <w:t>B7: Kontoauszug Darlehenskonto Jan.–Apr. 2026</w:t>
      </w:r>
    </w:p>
    <w:p>
      <w:r>
        <w:rPr>
          <w:color w:val="CCCCCC"/>
          <w:sz w:val="16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t>Potsdam, 5. Mai 2026</w:t>
      </w:r>
    </w:p>
    <w:p/>
    <w:p>
      <w:r>
        <w:t>____________________________</w:t>
        <w:br/>
        <w:t>RAin Sandra Kühn</w:t>
        <w:br/>
        <w:t>(Vertreterin der Havelbank AG)</w:t>
      </w:r>
    </w:p>
    <w:sectPr w:rsidR="00FC693F" w:rsidRPr="0006063C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color w:val="505050"/>
        <w:sz w:val="18"/>
      </w:rPr>
      <w:t>Az. 35 IN 417/26 | IFAP-002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