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Calibri" w:hAnsi="Calibri"/>
          <w:b/>
          <w:color w:val="003C5A"/>
          <w:sz w:val="32"/>
        </w:rPr>
        <w:t>INSOLVENZPLAN METALLBAU HANSA GMBH</w:t>
      </w:r>
    </w:p>
    <w:p>
      <w:pPr>
        <w:jc w:val="center"/>
      </w:pPr>
      <w:r>
        <w:rPr>
          <w:rFonts w:ascii="Calibri" w:hAnsi="Calibri"/>
          <w:b/>
          <w:color w:val="003C5A"/>
          <w:sz w:val="28"/>
        </w:rPr>
        <w:t>DARSTELLENDER TEIL (§ 220 InsO)</w:t>
      </w:r>
    </w:p>
    <w:p>
      <w:pPr>
        <w:jc w:val="center"/>
      </w:pPr>
      <w:r>
        <w:rPr>
          <w:rFonts w:ascii="Calibri" w:hAnsi="Calibri"/>
          <w:b w:val="0"/>
          <w:color w:val="787878"/>
          <w:sz w:val="20"/>
        </w:rPr>
        <w:t>Arbeitsfassung – Stand 5. Juni 2026 – Aktenzeichen MH-2026-001</w:t>
      </w:r>
    </w:p>
    <w:p/>
    <w:p>
      <w:pPr>
        <w:spacing w:before="240" w:after="80"/>
      </w:pPr>
      <w:r>
        <w:rPr>
          <w:rFonts w:ascii="Calibri" w:hAnsi="Calibri"/>
          <w:b/>
          <w:sz w:val="24"/>
        </w:rPr>
        <w:t>RUBRUM</w:t>
      </w:r>
    </w:p>
    <w:tbl>
      <w:tblPr>
        <w:tblStyle w:val="TableGrid"/>
        <w:tblW w:type="auto" w:w="0"/>
        <w:tblLook w:firstColumn="1" w:firstRow="1" w:lastColumn="0" w:lastRow="0" w:noHBand="0" w:noVBand="1" w:val="04A0"/>
      </w:tblPr>
      <w:tblGrid>
        <w:gridCol w:w="4561"/>
        <w:gridCol w:w="4561"/>
      </w:tblGrid>
      <w:tr>
        <w:tc>
          <w:tcPr>
            <w:tcW w:type="dxa" w:w="4561"/>
          </w:tcPr>
          <w:p>
            <w:r>
              <w:rPr>
                <w:rFonts w:ascii="Calibri" w:hAnsi="Calibri"/>
                <w:b/>
                <w:sz w:val="20"/>
              </w:rPr>
              <w:t>Schuldnerin</w:t>
            </w:r>
          </w:p>
        </w:tc>
        <w:tc>
          <w:tcPr>
            <w:tcW w:type="dxa" w:w="4561"/>
          </w:tcPr>
          <w:p>
            <w:r>
              <w:rPr>
                <w:rFonts w:ascii="Calibri" w:hAnsi="Calibri"/>
                <w:b w:val="0"/>
                <w:sz w:val="20"/>
              </w:rPr>
              <w:t>Metallbau Hansa GmbH, Billbrookdeich 127, 22113 Hamburg, HRB 142 387 AG Hamburg</w:t>
            </w:r>
          </w:p>
        </w:tc>
      </w:tr>
      <w:tr>
        <w:tc>
          <w:tcPr>
            <w:tcW w:type="dxa" w:w="4561"/>
          </w:tcPr>
          <w:p>
            <w:r>
              <w:rPr>
                <w:rFonts w:ascii="Calibri" w:hAnsi="Calibri"/>
                <w:b/>
                <w:sz w:val="20"/>
              </w:rPr>
              <w:t>Geschäftsführung</w:t>
            </w:r>
          </w:p>
        </w:tc>
        <w:tc>
          <w:tcPr>
            <w:tcW w:type="dxa" w:w="4561"/>
          </w:tcPr>
          <w:p>
            <w:r>
              <w:rPr>
                <w:rFonts w:ascii="Calibri" w:hAnsi="Calibri"/>
                <w:b w:val="0"/>
                <w:sz w:val="20"/>
              </w:rPr>
              <w:t>Anna Reimers, Lukas Petersen</w:t>
            </w:r>
          </w:p>
        </w:tc>
      </w:tr>
      <w:tr>
        <w:tc>
          <w:tcPr>
            <w:tcW w:type="dxa" w:w="4561"/>
          </w:tcPr>
          <w:p>
            <w:r>
              <w:rPr>
                <w:rFonts w:ascii="Calibri" w:hAnsi="Calibri"/>
                <w:b/>
                <w:sz w:val="20"/>
              </w:rPr>
              <w:t>Alleingesellschafterin</w:t>
            </w:r>
          </w:p>
        </w:tc>
        <w:tc>
          <w:tcPr>
            <w:tcW w:type="dxa" w:w="4561"/>
          </w:tcPr>
          <w:p>
            <w:r>
              <w:rPr>
                <w:rFonts w:ascii="Calibri" w:hAnsi="Calibri"/>
                <w:b w:val="0"/>
                <w:sz w:val="20"/>
              </w:rPr>
              <w:t>Hansa Beteiligungs UG (haftungsbeschränkt), Hamburg, HRB 189 044</w:t>
            </w:r>
          </w:p>
        </w:tc>
      </w:tr>
      <w:tr>
        <w:tc>
          <w:tcPr>
            <w:tcW w:type="dxa" w:w="4561"/>
          </w:tcPr>
          <w:p>
            <w:r>
              <w:rPr>
                <w:rFonts w:ascii="Calibri" w:hAnsi="Calibri"/>
                <w:b/>
                <w:sz w:val="20"/>
              </w:rPr>
              <w:t>Verfahrensart</w:t>
            </w:r>
          </w:p>
        </w:tc>
        <w:tc>
          <w:tcPr>
            <w:tcW w:type="dxa" w:w="4561"/>
          </w:tcPr>
          <w:p>
            <w:r>
              <w:rPr>
                <w:rFonts w:ascii="Calibri" w:hAnsi="Calibri"/>
                <w:b w:val="0"/>
                <w:sz w:val="20"/>
              </w:rPr>
              <w:t>Insolvenzplan in Eigenverwaltung (§§ 270a, 217 ff. InsO)</w:t>
            </w:r>
          </w:p>
        </w:tc>
      </w:tr>
      <w:tr>
        <w:tc>
          <w:tcPr>
            <w:tcW w:type="dxa" w:w="4561"/>
          </w:tcPr>
          <w:p>
            <w:r>
              <w:rPr>
                <w:rFonts w:ascii="Calibri" w:hAnsi="Calibri"/>
                <w:b/>
                <w:sz w:val="20"/>
              </w:rPr>
              <w:t>Vorläufiger Sachwalter</w:t>
            </w:r>
          </w:p>
        </w:tc>
        <w:tc>
          <w:tcPr>
            <w:tcW w:type="dxa" w:w="4561"/>
          </w:tcPr>
          <w:p>
            <w:r>
              <w:rPr>
                <w:rFonts w:ascii="Calibri" w:hAnsi="Calibri"/>
                <w:b w:val="0"/>
                <w:sz w:val="20"/>
              </w:rPr>
              <w:t>Kanzlei Brandt &amp; Söhne, Hamburg</w:t>
            </w:r>
          </w:p>
        </w:tc>
      </w:tr>
      <w:tr>
        <w:tc>
          <w:tcPr>
            <w:tcW w:type="dxa" w:w="4561"/>
          </w:tcPr>
          <w:p>
            <w:r>
              <w:rPr>
                <w:rFonts w:ascii="Calibri" w:hAnsi="Calibri"/>
                <w:b/>
                <w:sz w:val="20"/>
              </w:rPr>
              <w:t>Beratungskanzlei</w:t>
            </w:r>
          </w:p>
        </w:tc>
        <w:tc>
          <w:tcPr>
            <w:tcW w:type="dxa" w:w="4561"/>
          </w:tcPr>
          <w:p>
            <w:r>
              <w:rPr>
                <w:rFonts w:ascii="Calibri" w:hAnsi="Calibri"/>
                <w:b w:val="0"/>
                <w:sz w:val="20"/>
              </w:rPr>
              <w:t>Westphal &amp; Partner Rechtsanwälte PartGmbB, Hamburg</w:t>
            </w:r>
          </w:p>
        </w:tc>
      </w:tr>
      <w:tr>
        <w:tc>
          <w:tcPr>
            <w:tcW w:type="dxa" w:w="4561"/>
          </w:tcPr>
          <w:p>
            <w:r>
              <w:rPr>
                <w:rFonts w:ascii="Calibri" w:hAnsi="Calibri"/>
                <w:b/>
                <w:sz w:val="20"/>
              </w:rPr>
              <w:t>Steuerberater</w:t>
            </w:r>
          </w:p>
        </w:tc>
        <w:tc>
          <w:tcPr>
            <w:tcW w:type="dxa" w:w="4561"/>
          </w:tcPr>
          <w:p>
            <w:r>
              <w:rPr>
                <w:rFonts w:ascii="Calibri" w:hAnsi="Calibri"/>
                <w:b w:val="0"/>
                <w:sz w:val="20"/>
              </w:rPr>
              <w:t>Dresen &amp; Partner GmbH WPG, Hamburg</w:t>
            </w:r>
          </w:p>
        </w:tc>
      </w:tr>
      <w:tr>
        <w:tc>
          <w:tcPr>
            <w:tcW w:type="dxa" w:w="4561"/>
          </w:tcPr>
          <w:p>
            <w:r>
              <w:rPr>
                <w:rFonts w:ascii="Calibri" w:hAnsi="Calibri"/>
                <w:b/>
                <w:sz w:val="20"/>
              </w:rPr>
              <w:t>Planersteller</w:t>
            </w:r>
          </w:p>
        </w:tc>
        <w:tc>
          <w:tcPr>
            <w:tcW w:type="dxa" w:w="4561"/>
          </w:tcPr>
          <w:p>
            <w:r>
              <w:rPr>
                <w:rFonts w:ascii="Calibri" w:hAnsi="Calibri"/>
                <w:b w:val="0"/>
                <w:sz w:val="20"/>
              </w:rPr>
              <w:t>Metallbau Hansa GmbH, vertreten durch die Geschäftsführung</w:t>
            </w:r>
          </w:p>
        </w:tc>
      </w:tr>
      <w:tr>
        <w:tc>
          <w:tcPr>
            <w:tcW w:type="dxa" w:w="4561"/>
          </w:tcPr>
          <w:p>
            <w:r>
              <w:rPr>
                <w:rFonts w:ascii="Calibri" w:hAnsi="Calibri"/>
                <w:b/>
                <w:sz w:val="20"/>
              </w:rPr>
              <w:t>Datum Planentwurf</w:t>
            </w:r>
          </w:p>
        </w:tc>
        <w:tc>
          <w:tcPr>
            <w:tcW w:type="dxa" w:w="4561"/>
          </w:tcPr>
          <w:p>
            <w:r>
              <w:rPr>
                <w:rFonts w:ascii="Calibri" w:hAnsi="Calibri"/>
                <w:b w:val="0"/>
                <w:sz w:val="20"/>
              </w:rPr>
              <w:t>16. Juni 2026 (geplant)</w:t>
            </w:r>
          </w:p>
        </w:tc>
      </w:tr>
    </w:tbl>
    <w:p/>
    <w:p>
      <w:pPr>
        <w:spacing w:before="240" w:after="80"/>
      </w:pPr>
      <w:r>
        <w:rPr>
          <w:rFonts w:ascii="Calibri" w:hAnsi="Calibri"/>
          <w:b/>
          <w:sz w:val="28"/>
        </w:rPr>
        <w:t>§ 1  Schuldnerin und Geschäftsbetrieb</w:t>
      </w:r>
    </w:p>
    <w:p>
      <w:pPr>
        <w:spacing w:after="80"/>
      </w:pPr>
      <w:r>
        <w:rPr>
          <w:rFonts w:ascii="Calibri" w:hAnsi="Calibri"/>
          <w:b w:val="0"/>
          <w:sz w:val="22"/>
        </w:rPr>
        <w:t>Die Metallbau Hansa GmbH ist seit 2003 im Hamburger Wirtschaftsraum tätig. Sie fertigt Stahlbaugruppen, Trägerkonstruktionen und Moduleinheiten für kommunale Fernwärmeprojekte, Bahnstationen und industrielle Anlagenbauer. Das Unternehmen ist zertifiziert nach DIN EN 1090-2 Ausführungsklasse EXC 3 – ein Alleinstellungsmerkmal im regionalen Wettbewerb, das insbesondere den Bahn-Infrastrukturbereich sichert.</w:t>
      </w:r>
    </w:p>
    <w:p>
      <w:pPr>
        <w:spacing w:after="80"/>
      </w:pPr>
      <w:r>
        <w:rPr>
          <w:rFonts w:ascii="Calibri" w:hAnsi="Calibri"/>
          <w:b w:val="0"/>
          <w:sz w:val="22"/>
        </w:rPr>
        <w:t>Der Standort Hamburg-Billbrook umfasst eine Produktionshalle mit 6.800 m² (Erbbaurecht Stadt Hamburg bis 2051). Zum Maschinenpark gehören zwei CNC-Bearbeitungszentren, Schweißanlagen, Säge- und Biegemaschinen sowie ein Brückenkran (15 t; Leasingeigentum LeasingWerk GmbH). Die Gesellschaft beschäftigt 86 sozialversicherungspflichtige Mitarbeitende sowie 4 Auszubildende.</w:t>
      </w:r>
    </w:p>
    <w:p>
      <w:pPr>
        <w:spacing w:before="240" w:after="80"/>
      </w:pPr>
      <w:r>
        <w:rPr>
          <w:rFonts w:ascii="Calibri" w:hAnsi="Calibri"/>
          <w:b/>
          <w:sz w:val="28"/>
        </w:rPr>
        <w:t>§ 2  Ursachen der Krise</w:t>
      </w:r>
    </w:p>
    <w:p>
      <w:pPr>
        <w:spacing w:after="80"/>
      </w:pPr>
      <w:r>
        <w:rPr>
          <w:rFonts w:ascii="Calibri" w:hAnsi="Calibri"/>
          <w:b w:val="0"/>
          <w:sz w:val="22"/>
        </w:rPr>
        <w:t>Die Krise hat ihre unmittelbare Ursache in zwei Festpreisaufträgen ohne Materialgleitklausel (Bahnstation Altona-Süd, 3,1 Mio. Euro; Wärmeprojekt Stellingen, 2,4 Mio. Euro), die durch den Stahlpreisanstieg 2022/2023 zu Deckungsbeitragsverlusten von zusammen ca. 870.000 Euro führten. Der Grundstoffpreis (HRC warmgewalzt) überstieg die Kalkulation um ca. 16–18 %. Fehlendes monatliches Projektcontrolling verzögerte die Erkennung der Verluste um mindestens 12 Monate.</w:t>
      </w:r>
    </w:p>
    <w:p>
      <w:pPr>
        <w:spacing w:after="80"/>
      </w:pPr>
      <w:r>
        <w:rPr>
          <w:rFonts w:ascii="Calibri" w:hAnsi="Calibri"/>
          <w:b w:val="0"/>
          <w:sz w:val="22"/>
        </w:rPr>
        <w:t>Die NordBank AG hat nach Feststellung einer Covenant-Verletzung (Eigenkapitalquote &lt; 12 % per 31.12.2024) die Rückführung des Kontokorrentkredits (2,0 Mio. Euro) zum 30. Juni 2026 gefordert. Das Gesellschafterdarlehen der Hansa Beteiligungs UG (950.000 Euro, 2023 gewährt) wurde ohne schriftlichen Rangrücktritt ausgestaltet und konnte die Eigenkapitalfunktion nicht erfüllen.</w:t>
      </w:r>
    </w:p>
    <w:p>
      <w:pPr>
        <w:spacing w:before="240" w:after="80"/>
      </w:pPr>
      <w:r>
        <w:rPr>
          <w:rFonts w:ascii="Calibri" w:hAnsi="Calibri"/>
          <w:b/>
          <w:sz w:val="28"/>
        </w:rPr>
        <w:t>§ 3  Vermögenslage und Überschuldungsstatus</w:t>
      </w:r>
    </w:p>
    <w:p>
      <w:pPr>
        <w:spacing w:after="80"/>
      </w:pPr>
      <w:r>
        <w:rPr>
          <w:rFonts w:ascii="Calibri" w:hAnsi="Calibri"/>
          <w:b w:val="0"/>
          <w:sz w:val="22"/>
        </w:rPr>
        <w:t>Die Gesellschaft ist zum Stichtag 30. April 2026 bilanziell überschuldet (§ 19 InsO). Die Bilanzsumme beträgt vorläufig ca. 10,8 Mio. Euro; das Eigenkapital weist einen negativen Saldo von ca. 910.000 Euro aus (vorläufig, nicht testiert). Die positive Fortführungsprognose besteht gleichwohl, da die Verluste auf abgeschlossene Projekte beschränkt sind und der Auftragsbestand (11,3 Mio. Euro) und die neue Finanzierung (Nordlicht Turnaround Fonds, 1,4 Mio. Euro Darlehen) die Fortführung sichern.</w:t>
      </w:r>
    </w:p>
    <w:tbl>
      <w:tblPr>
        <w:tblStyle w:val="TableGrid"/>
        <w:tblW w:type="auto" w:w="0"/>
        <w:tblLook w:firstColumn="1" w:firstRow="1" w:lastColumn="0" w:lastRow="0" w:noHBand="0" w:noVBand="1" w:val="04A0"/>
      </w:tblPr>
      <w:tblGrid>
        <w:gridCol w:w="2280"/>
        <w:gridCol w:w="2280"/>
        <w:gridCol w:w="2280"/>
        <w:gridCol w:w="2280"/>
      </w:tblGrid>
      <w:tr>
        <w:tc>
          <w:tcPr>
            <w:tcW w:type="dxa" w:w="2280"/>
          </w:tcPr>
          <w:p>
            <w:r>
              <w:rPr>
                <w:rFonts w:ascii="Calibri" w:hAnsi="Calibri"/>
                <w:b/>
                <w:sz w:val="18"/>
              </w:rPr>
              <w:t>Position</w:t>
            </w:r>
          </w:p>
        </w:tc>
        <w:tc>
          <w:tcPr>
            <w:tcW w:type="dxa" w:w="2280"/>
          </w:tcPr>
          <w:p>
            <w:r>
              <w:rPr>
                <w:rFonts w:ascii="Calibri" w:hAnsi="Calibri"/>
                <w:b/>
                <w:sz w:val="18"/>
              </w:rPr>
              <w:t>Buchwert (€)</w:t>
            </w:r>
          </w:p>
        </w:tc>
        <w:tc>
          <w:tcPr>
            <w:tcW w:type="dxa" w:w="2280"/>
          </w:tcPr>
          <w:p>
            <w:r>
              <w:rPr>
                <w:rFonts w:ascii="Calibri" w:hAnsi="Calibri"/>
                <w:b/>
                <w:sz w:val="18"/>
              </w:rPr>
              <w:t>Fortführungswert (€)</w:t>
            </w:r>
          </w:p>
        </w:tc>
        <w:tc>
          <w:tcPr>
            <w:tcW w:type="dxa" w:w="2280"/>
          </w:tcPr>
          <w:p>
            <w:r>
              <w:rPr>
                <w:rFonts w:ascii="Calibri" w:hAnsi="Calibri"/>
                <w:b/>
                <w:sz w:val="18"/>
              </w:rPr>
              <w:t>Zerschlagungswert (€)</w:t>
            </w:r>
          </w:p>
        </w:tc>
      </w:tr>
      <w:tr>
        <w:tc>
          <w:tcPr>
            <w:tcW w:type="dxa" w:w="2280"/>
          </w:tcPr>
          <w:p>
            <w:r/>
            <w:r>
              <w:rPr>
                <w:rFonts w:ascii="Calibri" w:hAnsi="Calibri"/>
                <w:b/>
                <w:sz w:val="20"/>
              </w:rPr>
              <w:t>Maschinenpark</w:t>
            </w:r>
          </w:p>
        </w:tc>
        <w:tc>
          <w:tcPr>
            <w:tcW w:type="dxa" w:w="2280"/>
          </w:tcPr>
          <w:p>
            <w:r/>
            <w:r>
              <w:rPr>
                <w:rFonts w:ascii="Calibri" w:hAnsi="Calibri"/>
                <w:sz w:val="20"/>
              </w:rPr>
              <w:t>2.150.000</w:t>
            </w:r>
          </w:p>
        </w:tc>
        <w:tc>
          <w:tcPr>
            <w:tcW w:type="dxa" w:w="2280"/>
          </w:tcPr>
          <w:p>
            <w:r/>
            <w:r>
              <w:rPr>
                <w:rFonts w:ascii="Calibri" w:hAnsi="Calibri"/>
                <w:sz w:val="20"/>
              </w:rPr>
              <w:t>1.250.000</w:t>
            </w:r>
          </w:p>
        </w:tc>
        <w:tc>
          <w:tcPr>
            <w:tcW w:type="dxa" w:w="2280"/>
          </w:tcPr>
          <w:p>
            <w:r/>
            <w:r>
              <w:rPr>
                <w:rFonts w:ascii="Calibri" w:hAnsi="Calibri"/>
                <w:sz w:val="20"/>
              </w:rPr>
              <w:t>563.000</w:t>
            </w:r>
          </w:p>
        </w:tc>
      </w:tr>
      <w:tr>
        <w:tc>
          <w:tcPr>
            <w:tcW w:type="dxa" w:w="2280"/>
          </w:tcPr>
          <w:p>
            <w:r/>
            <w:r>
              <w:rPr>
                <w:rFonts w:ascii="Calibri" w:hAnsi="Calibri"/>
                <w:b/>
                <w:sz w:val="20"/>
              </w:rPr>
              <w:t>Erbbaurecht-Ausbau</w:t>
            </w:r>
          </w:p>
        </w:tc>
        <w:tc>
          <w:tcPr>
            <w:tcW w:type="dxa" w:w="2280"/>
          </w:tcPr>
          <w:p>
            <w:r/>
            <w:r>
              <w:rPr>
                <w:rFonts w:ascii="Calibri" w:hAnsi="Calibri"/>
                <w:sz w:val="20"/>
              </w:rPr>
              <w:t>740.000</w:t>
            </w:r>
          </w:p>
        </w:tc>
        <w:tc>
          <w:tcPr>
            <w:tcW w:type="dxa" w:w="2280"/>
          </w:tcPr>
          <w:p>
            <w:r/>
            <w:r>
              <w:rPr>
                <w:rFonts w:ascii="Calibri" w:hAnsi="Calibri"/>
                <w:sz w:val="20"/>
              </w:rPr>
              <w:t>600.000</w:t>
            </w:r>
          </w:p>
        </w:tc>
        <w:tc>
          <w:tcPr>
            <w:tcW w:type="dxa" w:w="2280"/>
          </w:tcPr>
          <w:p>
            <w:r/>
            <w:r>
              <w:rPr>
                <w:rFonts w:ascii="Calibri" w:hAnsi="Calibri"/>
                <w:sz w:val="20"/>
              </w:rPr>
              <w:t>95.000</w:t>
            </w:r>
          </w:p>
        </w:tc>
      </w:tr>
      <w:tr>
        <w:tc>
          <w:tcPr>
            <w:tcW w:type="dxa" w:w="2280"/>
          </w:tcPr>
          <w:p>
            <w:r/>
            <w:r>
              <w:rPr>
                <w:rFonts w:ascii="Calibri" w:hAnsi="Calibri"/>
                <w:b/>
                <w:sz w:val="20"/>
              </w:rPr>
              <w:t>Fuhrpark und Sonstiges</w:t>
            </w:r>
          </w:p>
        </w:tc>
        <w:tc>
          <w:tcPr>
            <w:tcW w:type="dxa" w:w="2280"/>
          </w:tcPr>
          <w:p>
            <w:r/>
            <w:r>
              <w:rPr>
                <w:rFonts w:ascii="Calibri" w:hAnsi="Calibri"/>
                <w:sz w:val="20"/>
              </w:rPr>
              <w:t>507.000</w:t>
            </w:r>
          </w:p>
        </w:tc>
        <w:tc>
          <w:tcPr>
            <w:tcW w:type="dxa" w:w="2280"/>
          </w:tcPr>
          <w:p>
            <w:r/>
            <w:r>
              <w:rPr>
                <w:rFonts w:ascii="Calibri" w:hAnsi="Calibri"/>
                <w:sz w:val="20"/>
              </w:rPr>
              <w:t>378.000</w:t>
            </w:r>
          </w:p>
        </w:tc>
        <w:tc>
          <w:tcPr>
            <w:tcW w:type="dxa" w:w="2280"/>
          </w:tcPr>
          <w:p>
            <w:r/>
            <w:r>
              <w:rPr>
                <w:rFonts w:ascii="Calibri" w:hAnsi="Calibri"/>
                <w:sz w:val="20"/>
              </w:rPr>
              <w:t>254.000</w:t>
            </w:r>
          </w:p>
        </w:tc>
      </w:tr>
      <w:tr>
        <w:tc>
          <w:tcPr>
            <w:tcW w:type="dxa" w:w="2280"/>
          </w:tcPr>
          <w:p>
            <w:r/>
            <w:r>
              <w:rPr>
                <w:rFonts w:ascii="Calibri" w:hAnsi="Calibri"/>
                <w:b/>
                <w:sz w:val="20"/>
              </w:rPr>
              <w:t>Vorräte (abzgl. EV-Risiken)</w:t>
            </w:r>
          </w:p>
        </w:tc>
        <w:tc>
          <w:tcPr>
            <w:tcW w:type="dxa" w:w="2280"/>
          </w:tcPr>
          <w:p>
            <w:r/>
            <w:r>
              <w:rPr>
                <w:rFonts w:ascii="Calibri" w:hAnsi="Calibri"/>
                <w:sz w:val="20"/>
              </w:rPr>
              <w:t>1.600.000</w:t>
            </w:r>
          </w:p>
        </w:tc>
        <w:tc>
          <w:tcPr>
            <w:tcW w:type="dxa" w:w="2280"/>
          </w:tcPr>
          <w:p>
            <w:r/>
            <w:r>
              <w:rPr>
                <w:rFonts w:ascii="Calibri" w:hAnsi="Calibri"/>
                <w:sz w:val="20"/>
              </w:rPr>
              <w:t>960.000</w:t>
            </w:r>
          </w:p>
        </w:tc>
        <w:tc>
          <w:tcPr>
            <w:tcW w:type="dxa" w:w="2280"/>
          </w:tcPr>
          <w:p>
            <w:r/>
            <w:r>
              <w:rPr>
                <w:rFonts w:ascii="Calibri" w:hAnsi="Calibri"/>
                <w:sz w:val="20"/>
              </w:rPr>
              <w:t>480.000</w:t>
            </w:r>
          </w:p>
        </w:tc>
      </w:tr>
      <w:tr>
        <w:tc>
          <w:tcPr>
            <w:tcW w:type="dxa" w:w="2280"/>
          </w:tcPr>
          <w:p>
            <w:r/>
            <w:r>
              <w:rPr>
                <w:rFonts w:ascii="Calibri" w:hAnsi="Calibri"/>
                <w:b/>
                <w:sz w:val="20"/>
              </w:rPr>
              <w:t>Forderungen L&amp;L (netto)</w:t>
            </w:r>
          </w:p>
        </w:tc>
        <w:tc>
          <w:tcPr>
            <w:tcW w:type="dxa" w:w="2280"/>
          </w:tcPr>
          <w:p>
            <w:r/>
            <w:r>
              <w:rPr>
                <w:rFonts w:ascii="Calibri" w:hAnsi="Calibri"/>
                <w:sz w:val="20"/>
              </w:rPr>
              <w:t>2.820.000</w:t>
            </w:r>
          </w:p>
        </w:tc>
        <w:tc>
          <w:tcPr>
            <w:tcW w:type="dxa" w:w="2280"/>
          </w:tcPr>
          <w:p>
            <w:r/>
            <w:r>
              <w:rPr>
                <w:rFonts w:ascii="Calibri" w:hAnsi="Calibri"/>
                <w:sz w:val="20"/>
              </w:rPr>
              <w:t>2.820.000</w:t>
            </w:r>
          </w:p>
        </w:tc>
        <w:tc>
          <w:tcPr>
            <w:tcW w:type="dxa" w:w="2280"/>
          </w:tcPr>
          <w:p>
            <w:r/>
            <w:r>
              <w:rPr>
                <w:rFonts w:ascii="Calibri" w:hAnsi="Calibri"/>
                <w:sz w:val="20"/>
              </w:rPr>
              <w:t>1.950.000</w:t>
            </w:r>
          </w:p>
        </w:tc>
      </w:tr>
      <w:tr>
        <w:tc>
          <w:tcPr>
            <w:tcW w:type="dxa" w:w="2280"/>
          </w:tcPr>
          <w:p>
            <w:r/>
            <w:r>
              <w:rPr>
                <w:rFonts w:ascii="Calibri" w:hAnsi="Calibri"/>
                <w:b/>
                <w:sz w:val="20"/>
              </w:rPr>
              <w:t>Kassenbestand</w:t>
            </w:r>
          </w:p>
        </w:tc>
        <w:tc>
          <w:tcPr>
            <w:tcW w:type="dxa" w:w="2280"/>
          </w:tcPr>
          <w:p>
            <w:r/>
            <w:r>
              <w:rPr>
                <w:rFonts w:ascii="Calibri" w:hAnsi="Calibri"/>
                <w:sz w:val="20"/>
              </w:rPr>
              <w:t>193.000</w:t>
            </w:r>
          </w:p>
        </w:tc>
        <w:tc>
          <w:tcPr>
            <w:tcW w:type="dxa" w:w="2280"/>
          </w:tcPr>
          <w:p>
            <w:r/>
            <w:r>
              <w:rPr>
                <w:rFonts w:ascii="Calibri" w:hAnsi="Calibri"/>
                <w:sz w:val="20"/>
              </w:rPr>
              <w:t>193.000</w:t>
            </w:r>
          </w:p>
        </w:tc>
        <w:tc>
          <w:tcPr>
            <w:tcW w:type="dxa" w:w="2280"/>
          </w:tcPr>
          <w:p>
            <w:r/>
            <w:r>
              <w:rPr>
                <w:rFonts w:ascii="Calibri" w:hAnsi="Calibri"/>
                <w:sz w:val="20"/>
              </w:rPr>
              <w:t>193.000</w:t>
            </w:r>
          </w:p>
        </w:tc>
      </w:tr>
      <w:tr>
        <w:tc>
          <w:tcPr>
            <w:tcW w:type="dxa" w:w="2280"/>
          </w:tcPr>
          <w:p>
            <w:r/>
            <w:r>
              <w:rPr>
                <w:rFonts w:ascii="Calibri" w:hAnsi="Calibri"/>
                <w:b/>
                <w:sz w:val="20"/>
              </w:rPr>
              <w:t>Summe Aktiva</w:t>
            </w:r>
          </w:p>
        </w:tc>
        <w:tc>
          <w:tcPr>
            <w:tcW w:type="dxa" w:w="2280"/>
          </w:tcPr>
          <w:p>
            <w:r/>
            <w:r>
              <w:rPr>
                <w:rFonts w:ascii="Calibri" w:hAnsi="Calibri"/>
                <w:sz w:val="20"/>
              </w:rPr>
              <w:t>8.010.000</w:t>
            </w:r>
          </w:p>
        </w:tc>
        <w:tc>
          <w:tcPr>
            <w:tcW w:type="dxa" w:w="2280"/>
          </w:tcPr>
          <w:p>
            <w:r/>
            <w:r>
              <w:rPr>
                <w:rFonts w:ascii="Calibri" w:hAnsi="Calibri"/>
                <w:sz w:val="20"/>
              </w:rPr>
              <w:t>6.201.000</w:t>
            </w:r>
          </w:p>
        </w:tc>
        <w:tc>
          <w:tcPr>
            <w:tcW w:type="dxa" w:w="2280"/>
          </w:tcPr>
          <w:p>
            <w:r/>
            <w:r>
              <w:rPr>
                <w:rFonts w:ascii="Calibri" w:hAnsi="Calibri"/>
                <w:sz w:val="20"/>
              </w:rPr>
              <w:t>3.535.000</w:t>
            </w:r>
          </w:p>
        </w:tc>
      </w:tr>
    </w:tbl>
    <w:p/>
    <w:p>
      <w:pPr>
        <w:spacing w:before="240" w:after="80"/>
      </w:pPr>
      <w:r>
        <w:rPr>
          <w:rFonts w:ascii="Calibri" w:hAnsi="Calibri"/>
          <w:b/>
          <w:sz w:val="28"/>
        </w:rPr>
        <w:t>§ 4  Fortführungsprognose</w:t>
      </w:r>
    </w:p>
    <w:p>
      <w:pPr>
        <w:spacing w:after="80"/>
      </w:pPr>
      <w:r>
        <w:rPr>
          <w:rFonts w:ascii="Calibri" w:hAnsi="Calibri"/>
          <w:b w:val="0"/>
          <w:sz w:val="22"/>
        </w:rPr>
        <w:t>Die wirtschaftliche Fortführungsprognose ist positiv, gestützt auf: (1) Auftragsbestand 11,3 Mio. Euro, davon 4,2 Mio. Euro vertraglich gesichert; (2) Stadtwerke-Nord-Auftrag (2,8 Mio. Euro, Q3 2026 erwartet); (3) Materialgleitklauseln in allen Neuverträgen ab KW 22/2026; (4) PMO-Einführung zur Margensicherung; (5) Investor-Darlehen 1,4 Mio. Euro. EBITDA-Plan 2026: 980 TEUR; 2027: 1.800 TEUR.</w:t>
      </w:r>
    </w:p>
    <w:p>
      <w:pPr>
        <w:spacing w:before="240" w:after="80"/>
      </w:pPr>
      <w:r>
        <w:rPr>
          <w:rFonts w:ascii="Calibri" w:hAnsi="Calibri"/>
          <w:b/>
          <w:sz w:val="28"/>
        </w:rPr>
        <w:t>§ 5  Sonderaktiva und Anfechtungsansprüche</w:t>
      </w:r>
    </w:p>
    <w:p>
      <w:pPr>
        <w:spacing w:after="80"/>
      </w:pPr>
      <w:r>
        <w:rPr>
          <w:rFonts w:ascii="Calibri" w:hAnsi="Calibri"/>
          <w:b w:val="0"/>
          <w:sz w:val="22"/>
        </w:rPr>
        <w:t>Als Aktivum aus Anfechtungsansprüchen (§ 135 Abs. 1 Nr. 2 InsO) wird eine Zinszahlung auf das Gesellschafterdarlehen vom September 2025 in Höhe von 28.500 Euro erfasst. Zahlungen nach Insolvenzreife (§ 15b InsO) sind nicht festgestellt. Organhaftungsansprüche nach § 43 Abs. 2 GmbHG sind unwahrscheinlich; die Festpreisverträge lagen im unternehmerischen Ermessen (Business Judgment Rule).</w:t>
      </w:r>
    </w:p>
    <w:p>
      <w:pPr>
        <w:spacing w:before="240" w:after="80"/>
      </w:pPr>
      <w:r>
        <w:rPr>
          <w:rFonts w:ascii="Calibri" w:hAnsi="Calibri"/>
          <w:b/>
          <w:sz w:val="28"/>
        </w:rPr>
        <w:t>§ 6  Verfahrensgeschichte</w:t>
      </w:r>
    </w:p>
    <w:p>
      <w:pPr>
        <w:spacing w:after="80"/>
      </w:pPr>
      <w:r>
        <w:rPr>
          <w:rFonts w:ascii="Calibri" w:hAnsi="Calibri"/>
          <w:b w:val="0"/>
          <w:sz w:val="22"/>
        </w:rPr>
        <w:t>Der freiwillige Insolvenzantrag der Schuldnerin mit Eigenverwaltungsantrag (§ 270a InsO) wird für den 16. Juni 2026 beim Amtsgericht Hamburg, Insolvenzabteilung, vorbereitet. Als vorläufiger Sachwalter wurde die Kanzlei Brandt &amp; Söhne benannt. Der Insolvenzgeldzeitraum umfasst die Monate Juni, Juli und August 2026 (ca. 1.350.000 Euro Lohnfortzahlung durch die Bundesagentur für Arbeit).</w:t>
      </w:r>
    </w:p>
    <w:p>
      <w:pPr>
        <w:spacing w:before="240" w:after="80"/>
      </w:pPr>
      <w:r>
        <w:rPr>
          <w:rFonts w:ascii="Calibri" w:hAnsi="Calibri"/>
          <w:b/>
          <w:sz w:val="24"/>
        </w:rPr>
        <w:t>Anlagen</w:t>
      </w:r>
    </w:p>
    <w:p>
      <w:pPr>
        <w:pStyle w:val="ListBullet"/>
      </w:pPr>
      <w:r>
        <w:rPr>
          <w:rFonts w:ascii="Calibri" w:hAnsi="Calibri"/>
          <w:b w:val="0"/>
          <w:sz w:val="20"/>
        </w:rPr>
        <w:t>Anlage 1: Gläubigerübersicht vollständig (vgl. Datei 04_glaeubiger_und_sicherheiten.csv)</w:t>
      </w:r>
    </w:p>
    <w:p>
      <w:pPr>
        <w:pStyle w:val="ListBullet"/>
      </w:pPr>
      <w:r>
        <w:rPr>
          <w:rFonts w:ascii="Calibri" w:hAnsi="Calibri"/>
          <w:b w:val="0"/>
          <w:sz w:val="20"/>
        </w:rPr>
        <w:t>Anlage 2: 13-Wochen-Liquiditätsplanung (vgl. Datei 03_liquiditaetsstatus.csv)</w:t>
      </w:r>
    </w:p>
    <w:p>
      <w:pPr>
        <w:pStyle w:val="ListBullet"/>
      </w:pPr>
      <w:r>
        <w:rPr>
          <w:rFonts w:ascii="Calibri" w:hAnsi="Calibri"/>
          <w:b w:val="0"/>
          <w:sz w:val="20"/>
        </w:rPr>
        <w:t>Anlage 3: Gutachten Sachverständigenbüro Brandt &amp; Kollegen (Maschinenpark)</w:t>
      </w:r>
    </w:p>
    <w:p>
      <w:pPr>
        <w:pStyle w:val="ListBullet"/>
      </w:pPr>
      <w:r>
        <w:rPr>
          <w:rFonts w:ascii="Calibri" w:hAnsi="Calibri"/>
          <w:b w:val="0"/>
          <w:sz w:val="20"/>
        </w:rPr>
        <w:t>Anlage 4: BWA-Auszug 2023–2026 (vgl. Datei 05_bwa_susa_auszug.csv)</w:t>
      </w:r>
    </w:p>
    <w:p>
      <w:pPr>
        <w:pStyle w:val="ListBullet"/>
      </w:pPr>
      <w:r>
        <w:rPr>
          <w:rFonts w:ascii="Calibri" w:hAnsi="Calibri"/>
          <w:b w:val="0"/>
          <w:sz w:val="20"/>
        </w:rPr>
        <w:t>Anlage 5: Inventarliste Lagerbestand per 30.04.2026</w:t>
      </w:r>
    </w:p>
    <w:p>
      <w:pPr>
        <w:pStyle w:val="ListBullet"/>
      </w:pPr>
      <w:r>
        <w:rPr>
          <w:rFonts w:ascii="Calibri" w:hAnsi="Calibri"/>
          <w:b w:val="0"/>
          <w:sz w:val="20"/>
        </w:rPr>
        <w:t>Anlage 6: Verzichtserklärung Hansa Beteiligungs UG (notariell)</w:t>
      </w:r>
    </w:p>
    <w:p>
      <w:pPr>
        <w:pStyle w:val="ListBullet"/>
      </w:pPr>
      <w:r>
        <w:rPr>
          <w:rFonts w:ascii="Calibri" w:hAnsi="Calibri"/>
          <w:b w:val="0"/>
          <w:sz w:val="20"/>
        </w:rPr>
        <w:t>Anlage 7: Term Sheet Nordlicht Turnaround Fonds (vgl. Datei 08_investor_term_sheet.md)</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