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Calibri" w:hAnsi="Calibri"/>
          <w:b/>
          <w:color w:val="003C5A"/>
          <w:sz w:val="32"/>
        </w:rPr>
        <w:t>INSOLVENZPLAN METALLBAU HANSA GMBH</w:t>
      </w:r>
    </w:p>
    <w:p>
      <w:pPr>
        <w:jc w:val="center"/>
      </w:pPr>
      <w:r>
        <w:rPr>
          <w:rFonts w:ascii="Calibri" w:hAnsi="Calibri"/>
          <w:b/>
          <w:color w:val="003C5A"/>
          <w:sz w:val="28"/>
        </w:rPr>
        <w:t>GESTALTENDER TEIL (§ 221 InsO)</w:t>
      </w:r>
    </w:p>
    <w:p>
      <w:pPr>
        <w:jc w:val="center"/>
      </w:pPr>
      <w:r>
        <w:rPr>
          <w:rFonts w:ascii="Calibri" w:hAnsi="Calibri"/>
          <w:b w:val="0"/>
          <w:color w:val="787878"/>
          <w:sz w:val="20"/>
        </w:rPr>
        <w:t>Arbeitsfassung – Stand 5. Juni 2026 – Aktenzeichen MH-2026-001</w:t>
      </w:r>
    </w:p>
    <w:p/>
    <w:p>
      <w:pPr>
        <w:spacing w:before="240" w:after="80"/>
      </w:pPr>
      <w:r>
        <w:rPr>
          <w:rFonts w:ascii="Calibri" w:hAnsi="Calibri"/>
          <w:b/>
          <w:sz w:val="28"/>
        </w:rPr>
        <w:t>Abschnitt I: Allgemeine Bestimmungen</w:t>
      </w:r>
    </w:p>
    <w:p>
      <w:pPr>
        <w:spacing w:before="240" w:after="80"/>
      </w:pPr>
      <w:r>
        <w:rPr>
          <w:rFonts w:ascii="Calibri" w:hAnsi="Calibri"/>
          <w:b/>
          <w:sz w:val="24"/>
        </w:rPr>
        <w:t>§ 1  Geltungsbereich</w:t>
      </w:r>
    </w:p>
    <w:p>
      <w:pPr>
        <w:spacing w:after="80"/>
      </w:pPr>
      <w:r>
        <w:rPr>
          <w:rFonts w:ascii="Calibri" w:hAnsi="Calibri"/>
          <w:b w:val="0"/>
          <w:sz w:val="22"/>
        </w:rPr>
        <w:t>(1) Dieser Insolvenzplan gilt für alle Insolvenzforderungen, die bis zur Abstimmung über den Plan zur Tabelle angemeldet und festgestellt worden sind, sowie für die Absonderungsrechte der Gruppe 1.</w:t>
      </w:r>
    </w:p>
    <w:p>
      <w:pPr>
        <w:spacing w:after="80"/>
      </w:pPr>
      <w:r>
        <w:rPr>
          <w:rFonts w:ascii="Calibri" w:hAnsi="Calibri"/>
          <w:b w:val="0"/>
          <w:sz w:val="22"/>
        </w:rPr>
        <w:t>(2) Masseverbindlichkeiten (§§ 53–55 InsO) bleiben unberührt und werden ungekürzt aus der Insolvenzmasse beglichen.</w:t>
      </w:r>
    </w:p>
    <w:p>
      <w:pPr>
        <w:spacing w:after="80"/>
      </w:pPr>
      <w:r>
        <w:rPr>
          <w:rFonts w:ascii="Calibri" w:hAnsi="Calibri"/>
          <w:b w:val="0"/>
          <w:sz w:val="22"/>
        </w:rPr>
        <w:t>(3) Forderungen, die nicht zur Tabelle angemeldet wurden, erlöschen mit Rechtskraft der Planbestätigung nach § 254b InsO, soweit nicht ausdrücklich ausgenommen.</w:t>
      </w:r>
    </w:p>
    <w:p>
      <w:pPr>
        <w:spacing w:before="240" w:after="80"/>
      </w:pPr>
      <w:r>
        <w:rPr>
          <w:rFonts w:ascii="Calibri" w:hAnsi="Calibri"/>
          <w:b/>
          <w:sz w:val="24"/>
        </w:rPr>
        <w:t>§ 2  Definitionen</w:t>
      </w:r>
    </w:p>
    <w:p>
      <w:r>
        <w:rPr>
          <w:rFonts w:ascii="Calibri" w:hAnsi="Calibri"/>
          <w:b/>
          <w:sz w:val="22"/>
        </w:rPr>
        <w:t xml:space="preserve">„Planbestätigung": </w:t>
      </w:r>
      <w:r>
        <w:rPr>
          <w:rFonts w:ascii="Calibri" w:hAnsi="Calibri"/>
          <w:b w:val="0"/>
          <w:sz w:val="22"/>
        </w:rPr>
        <w:t>Beschluss des Amtsgerichts Hamburg nach § 248 InsO.</w:t>
      </w:r>
    </w:p>
    <w:p>
      <w:r>
        <w:rPr>
          <w:rFonts w:ascii="Calibri" w:hAnsi="Calibri"/>
          <w:b/>
          <w:sz w:val="22"/>
        </w:rPr>
        <w:t xml:space="preserve">„Rechtskraft": </w:t>
      </w:r>
      <w:r>
        <w:rPr>
          <w:rFonts w:ascii="Calibri" w:hAnsi="Calibri"/>
          <w:b w:val="0"/>
          <w:sz w:val="22"/>
        </w:rPr>
        <w:t>Zeitpunkt, ab dem die Planbestätigung unanfechtbar ist.</w:t>
      </w:r>
    </w:p>
    <w:p>
      <w:r>
        <w:rPr>
          <w:rFonts w:ascii="Calibri" w:hAnsi="Calibri"/>
          <w:b/>
          <w:sz w:val="22"/>
        </w:rPr>
        <w:t xml:space="preserve">„Planquote": </w:t>
      </w:r>
      <w:r>
        <w:rPr>
          <w:rFonts w:ascii="Calibri" w:hAnsi="Calibri"/>
          <w:b w:val="0"/>
          <w:sz w:val="22"/>
        </w:rPr>
        <w:t>Prozentualer Anteil an der festgestellten Forderung, den jede Gruppe erhält.</w:t>
      </w:r>
    </w:p>
    <w:p>
      <w:r>
        <w:rPr>
          <w:rFonts w:ascii="Calibri" w:hAnsi="Calibri"/>
          <w:b/>
          <w:sz w:val="22"/>
        </w:rPr>
        <w:t xml:space="preserve">„Treuhänder": </w:t>
      </w:r>
      <w:r>
        <w:rPr>
          <w:rFonts w:ascii="Calibri" w:hAnsi="Calibri"/>
          <w:b w:val="0"/>
          <w:sz w:val="22"/>
        </w:rPr>
        <w:t>Vom Gericht eingesetzte Person zur Überwachung und Ausschüttung (§§ 261, 260 InsO).</w:t>
      </w:r>
    </w:p>
    <w:p>
      <w:r>
        <w:rPr>
          <w:rFonts w:ascii="Calibri" w:hAnsi="Calibri"/>
          <w:b/>
          <w:sz w:val="22"/>
        </w:rPr>
        <w:t xml:space="preserve">„Investor-Tranche": </w:t>
      </w:r>
      <w:r>
        <w:rPr>
          <w:rFonts w:ascii="Calibri" w:hAnsi="Calibri"/>
          <w:b w:val="0"/>
          <w:sz w:val="22"/>
        </w:rPr>
        <w:t>Darlehen der Nordlicht Turnaround Fonds GmbH &amp; Co. KG, gesamt 1.400.000 Euro.</w:t>
      </w:r>
    </w:p>
    <w:p>
      <w:pPr>
        <w:spacing w:before="240" w:after="80"/>
      </w:pPr>
      <w:r>
        <w:rPr>
          <w:rFonts w:ascii="Calibri" w:hAnsi="Calibri"/>
          <w:b/>
          <w:sz w:val="28"/>
        </w:rPr>
        <w:t>Abschnitt II: Gruppe 1 – Absonderungsberechtigte Gläubiger</w:t>
      </w:r>
    </w:p>
    <w:p>
      <w:pPr>
        <w:spacing w:before="240" w:after="80"/>
      </w:pPr>
      <w:r>
        <w:rPr>
          <w:rFonts w:ascii="Calibri" w:hAnsi="Calibri"/>
          <w:b/>
          <w:sz w:val="24"/>
        </w:rPr>
        <w:t>§ 3  NordBank AG</w:t>
      </w:r>
    </w:p>
    <w:p>
      <w:pPr>
        <w:spacing w:after="80"/>
      </w:pPr>
      <w:r>
        <w:rPr>
          <w:rFonts w:ascii="Calibri" w:hAnsi="Calibri"/>
          <w:b w:val="0"/>
          <w:sz w:val="22"/>
        </w:rPr>
        <w:t>(1) Die NordBank AG hält gesicherte Forderungen von 4.200.000 Euro. Die Sicherheiten (Sicherungsübereignung Maschinenpark, Globalzession) werden wie folgt neu geordnet:</w:t>
      </w:r>
    </w:p>
    <w:p>
      <w:pPr>
        <w:spacing w:after="80"/>
      </w:pPr>
      <w:r>
        <w:rPr>
          <w:rFonts w:ascii="Calibri" w:hAnsi="Calibri"/>
          <w:b w:val="0"/>
          <w:sz w:val="22"/>
        </w:rPr>
        <w:t>(2) Absonderungserlös Maschinenpark: 1.250.000 Euro (gutachtlich festgestellt). Davon werden 750.000 Euro bei Rechtskraft und 500.000 Euro spätestens sechs Monate nach Rechtskraft an die NordBank AG überwiesen.</w:t>
      </w:r>
    </w:p>
    <w:p>
      <w:pPr>
        <w:spacing w:after="80"/>
      </w:pPr>
      <w:r>
        <w:rPr>
          <w:rFonts w:ascii="Calibri" w:hAnsi="Calibri"/>
          <w:b w:val="0"/>
          <w:sz w:val="22"/>
        </w:rPr>
        <w:t>(3) Globalzession: Die Globalzession wird auf laufende Forderungen beschränkt; Forderungen aus dem Stadtwerke-Nord-Rahmenvertrag werden mit Wirkung ab Rechtskraft aus der Globalzession herausgenommen und dem Investor erstrangig zediert.</w:t>
      </w:r>
    </w:p>
    <w:p>
      <w:pPr>
        <w:spacing w:after="80"/>
      </w:pPr>
      <w:r>
        <w:rPr>
          <w:rFonts w:ascii="Calibri" w:hAnsi="Calibri"/>
          <w:b w:val="0"/>
          <w:sz w:val="22"/>
        </w:rPr>
        <w:t>(4) Restforderung NordBank: 2.750.000 Euro (nach Abzug Sicherheitenerlös). Planquote 35 % = 962.500 Euro, zahlbar in vier Halbjahresraten, beginnend 18 Monate nach Rechtskraft. Erlass der Restschuld (1.787.500 Euro) mit Rechtskraft.</w:t>
      </w:r>
    </w:p>
    <w:p>
      <w:pPr>
        <w:spacing w:before="240" w:after="80"/>
      </w:pPr>
      <w:r>
        <w:rPr>
          <w:rFonts w:ascii="Calibri" w:hAnsi="Calibri"/>
          <w:b/>
          <w:sz w:val="24"/>
        </w:rPr>
        <w:t>§ 4  LeasingWerk GmbH</w:t>
      </w:r>
    </w:p>
    <w:p>
      <w:pPr>
        <w:spacing w:after="80"/>
      </w:pPr>
      <w:r>
        <w:rPr>
          <w:rFonts w:ascii="Calibri" w:hAnsi="Calibri"/>
          <w:b w:val="0"/>
          <w:sz w:val="22"/>
        </w:rPr>
        <w:t>(1) Die Leasingverträge über die CNC-Bearbeitungszentren und den Brückenkran werden erfüllt (§ 103 InsO, Wahlrecht Erfüllung). Die rückständige Leasingrate (38.400 Euro) wird als Masseverbindlichkeit beglichen.</w:t>
      </w:r>
    </w:p>
    <w:p>
      <w:pPr>
        <w:spacing w:after="80"/>
      </w:pPr>
      <w:r>
        <w:rPr>
          <w:rFonts w:ascii="Calibri" w:hAnsi="Calibri"/>
          <w:b w:val="0"/>
          <w:sz w:val="22"/>
        </w:rPr>
        <w:t>(2) Die LeasingWerk GmbH erhält auf die Insolvenzforderung (740.000 Euro) eine Planquote von 50 % = 370.000 Euro in zwei gleichen Raten, zahlbar 30 Tage und 12 Monate nach Rechtskraft.</w:t>
      </w:r>
    </w:p>
    <w:p>
      <w:pPr>
        <w:spacing w:before="240" w:after="80"/>
      </w:pPr>
      <w:r>
        <w:rPr>
          <w:rFonts w:ascii="Calibri" w:hAnsi="Calibri"/>
          <w:b/>
          <w:sz w:val="28"/>
        </w:rPr>
        <w:t>Abschnitt III: Gruppe 2 – Lieferanten mit Fortsetzungsinteresse</w:t>
      </w:r>
    </w:p>
    <w:p>
      <w:pPr>
        <w:spacing w:before="240" w:after="80"/>
      </w:pPr>
      <w:r>
        <w:rPr>
          <w:rFonts w:ascii="Calibri" w:hAnsi="Calibri"/>
          <w:b/>
          <w:sz w:val="24"/>
        </w:rPr>
        <w:t>§ 5  Planquote und Modalitäten</w:t>
      </w:r>
    </w:p>
    <w:p>
      <w:pPr>
        <w:spacing w:after="80"/>
      </w:pPr>
      <w:r>
        <w:rPr>
          <w:rFonts w:ascii="Calibri" w:hAnsi="Calibri"/>
          <w:b w:val="0"/>
          <w:sz w:val="22"/>
        </w:rPr>
        <w:t>(1) Alle Insolvenzgläubiger der Gruppe 2 erhalten eine Planquote von 60 % ihrer festgestellten Forderungen.</w:t>
      </w:r>
    </w:p>
    <w:p>
      <w:pPr>
        <w:spacing w:after="80"/>
      </w:pPr>
      <w:r>
        <w:rPr>
          <w:rFonts w:ascii="Calibri" w:hAnsi="Calibri"/>
          <w:b w:val="0"/>
          <w:sz w:val="22"/>
        </w:rPr>
        <w:t>(2) Erste Rate: 40 % der festgestellten Forderung, fällig spätestens am 30. Tag nach Rechtskraft.</w:t>
      </w:r>
    </w:p>
    <w:p>
      <w:pPr>
        <w:spacing w:after="80"/>
      </w:pPr>
      <w:r>
        <w:rPr>
          <w:rFonts w:ascii="Calibri" w:hAnsi="Calibri"/>
          <w:b w:val="0"/>
          <w:sz w:val="22"/>
        </w:rPr>
        <w:t>(3) Zweite Rate: 20 % der festgestellten Forderung, fällig spätestens 12 Monate nach Rechtskraft.</w:t>
      </w:r>
    </w:p>
    <w:p>
      <w:pPr>
        <w:spacing w:before="240" w:after="80"/>
      </w:pPr>
      <w:r>
        <w:rPr>
          <w:rFonts w:ascii="Calibri" w:hAnsi="Calibri"/>
          <w:b/>
          <w:sz w:val="24"/>
        </w:rPr>
        <w:t>§ 6  Eigentumsvorbehalte Stahlhandel Küste GmbH</w:t>
      </w:r>
    </w:p>
    <w:p>
      <w:pPr>
        <w:spacing w:after="80"/>
      </w:pPr>
      <w:r>
        <w:rPr>
          <w:rFonts w:ascii="Calibri" w:hAnsi="Calibri"/>
          <w:b w:val="0"/>
          <w:sz w:val="22"/>
        </w:rPr>
        <w:t>Die Schuldnerin erkennt an, dass dem Stahlhandel Küste GmbH an Rohmaterialien mit einem Zeitwert von bis zu 480.000 Euro ein verlängerter Eigentumsvorbehalt zusteht. Im Rahmen des Plans wird dieser Betrag innerhalb von 90 Tagen nach Rechtskraft vollständig aus der Investor-Tranche beglichen. Die verbleibende Restforderung nimmt an Gruppe 2 teil.</w:t>
      </w:r>
    </w:p>
    <w:p>
      <w:pPr>
        <w:spacing w:before="240" w:after="80"/>
      </w:pPr>
      <w:r>
        <w:rPr>
          <w:rFonts w:ascii="Calibri" w:hAnsi="Calibri"/>
          <w:b/>
          <w:sz w:val="28"/>
        </w:rPr>
        <w:t>Abschnitt IV: Gruppe 3 – Übrige nicht nachrangige Gläubiger</w:t>
      </w:r>
    </w:p>
    <w:p>
      <w:pPr>
        <w:spacing w:before="240" w:after="80"/>
      </w:pPr>
      <w:r>
        <w:rPr>
          <w:rFonts w:ascii="Calibri" w:hAnsi="Calibri"/>
          <w:b/>
          <w:sz w:val="24"/>
        </w:rPr>
        <w:t>§ 7  Planquote</w:t>
      </w:r>
    </w:p>
    <w:p>
      <w:pPr>
        <w:spacing w:after="80"/>
      </w:pPr>
      <w:r>
        <w:rPr>
          <w:rFonts w:ascii="Calibri" w:hAnsi="Calibri"/>
          <w:b w:val="0"/>
          <w:sz w:val="22"/>
        </w:rPr>
        <w:t>(1) Gläubiger der Gruppe 3 erhalten eine Planquote von 30 % ihrer festgestellten Forderungen in einer Rate, spätestens drei Monate nach Rechtskraft.</w:t>
      </w:r>
    </w:p>
    <w:p>
      <w:pPr>
        <w:spacing w:after="80"/>
      </w:pPr>
      <w:r>
        <w:rPr>
          <w:rFonts w:ascii="Calibri" w:hAnsi="Calibri"/>
          <w:b w:val="0"/>
          <w:sz w:val="22"/>
        </w:rPr>
        <w:t>(2) Kleingläubigerklausel: Gläubiger mit festgestellten Forderungen bis 5.000 Euro erhalten 75 % in einer Rate, spätestens 30 Tage nach Rechtskraft.</w:t>
      </w:r>
    </w:p>
    <w:p>
      <w:pPr>
        <w:spacing w:before="240" w:after="80"/>
      </w:pPr>
      <w:r>
        <w:rPr>
          <w:rFonts w:ascii="Calibri" w:hAnsi="Calibri"/>
          <w:b/>
          <w:sz w:val="28"/>
        </w:rPr>
        <w:t>Abschnitt V: Gruppe 4 – Finanzamt und Sozialversicherung</w:t>
      </w:r>
    </w:p>
    <w:p>
      <w:pPr>
        <w:spacing w:before="240" w:after="80"/>
      </w:pPr>
      <w:r>
        <w:rPr>
          <w:rFonts w:ascii="Calibri" w:hAnsi="Calibri"/>
          <w:b/>
          <w:sz w:val="24"/>
        </w:rPr>
        <w:t>§ 8  Finanzamt Hamburg-Mitte</w:t>
      </w:r>
    </w:p>
    <w:p>
      <w:pPr>
        <w:spacing w:after="80"/>
      </w:pPr>
      <w:r>
        <w:rPr>
          <w:rFonts w:ascii="Calibri" w:hAnsi="Calibri"/>
          <w:b w:val="0"/>
          <w:sz w:val="22"/>
        </w:rPr>
        <w:t>(1) Festgestellte Forderung: 480.000 Euro. Planquote 55 % = 264.000 Euro.</w:t>
      </w:r>
    </w:p>
    <w:p>
      <w:pPr>
        <w:spacing w:after="80"/>
      </w:pPr>
      <w:r>
        <w:rPr>
          <w:rFonts w:ascii="Calibri" w:hAnsi="Calibri"/>
          <w:b w:val="0"/>
          <w:sz w:val="22"/>
        </w:rPr>
        <w:t>(2) Zahlung in 18 gleichen Monatsraten zu je 14.667 Euro, beginnend einen Monat nach Rechtskraft. Stundungszins nach § 238 AO: 1,8 % p.a.</w:t>
      </w:r>
    </w:p>
    <w:p>
      <w:pPr>
        <w:spacing w:before="240" w:after="80"/>
      </w:pPr>
      <w:r>
        <w:rPr>
          <w:rFonts w:ascii="Calibri" w:hAnsi="Calibri"/>
          <w:b/>
          <w:sz w:val="24"/>
        </w:rPr>
        <w:t>§ 9  Sozialversicherungsträger</w:t>
      </w:r>
    </w:p>
    <w:p>
      <w:pPr>
        <w:spacing w:after="80"/>
      </w:pPr>
      <w:r>
        <w:rPr>
          <w:rFonts w:ascii="Calibri" w:hAnsi="Calibri"/>
          <w:b w:val="0"/>
          <w:sz w:val="22"/>
        </w:rPr>
        <w:t>Rückständige Arbeitgeberanteile vor Eröffnung (gesamt ca. 70.000 Euro) nehmen an Gruppe 4 teil (55 % Quote, zwei Raten). Nach Eröffnung entstehende SV-Beiträge sind Masseverbindlichkeiten und werden ungekürzt beglichen.</w:t>
      </w:r>
    </w:p>
    <w:p>
      <w:pPr>
        <w:spacing w:before="240" w:after="80"/>
      </w:pPr>
      <w:r>
        <w:rPr>
          <w:rFonts w:ascii="Calibri" w:hAnsi="Calibri"/>
          <w:b/>
          <w:sz w:val="28"/>
        </w:rPr>
        <w:t>Abschnitt VI: Gruppe 5 – Nachrangige Gläubiger</w:t>
      </w:r>
    </w:p>
    <w:p>
      <w:pPr>
        <w:spacing w:before="240" w:after="80"/>
      </w:pPr>
      <w:r>
        <w:rPr>
          <w:rFonts w:ascii="Calibri" w:hAnsi="Calibri"/>
          <w:b/>
          <w:sz w:val="24"/>
        </w:rPr>
        <w:t>§ 10  Gesellschafterdarlehen Hansa Beteiligungs UG</w:t>
      </w:r>
    </w:p>
    <w:p>
      <w:pPr>
        <w:spacing w:after="80"/>
      </w:pPr>
      <w:r>
        <w:rPr>
          <w:rFonts w:ascii="Calibri" w:hAnsi="Calibri"/>
          <w:b w:val="0"/>
          <w:sz w:val="22"/>
        </w:rPr>
        <w:t>(1) Die Hansa Beteiligungs UG verzichtet vollständig auf das Gesellschafterdarlehen (950.000 Euro) und aufgelaufene Zinsen (28.500 Euro). Planquote: 0 %.</w:t>
      </w:r>
    </w:p>
    <w:p>
      <w:pPr>
        <w:spacing w:after="80"/>
      </w:pPr>
      <w:r>
        <w:rPr>
          <w:rFonts w:ascii="Calibri" w:hAnsi="Calibri"/>
          <w:b w:val="0"/>
          <w:sz w:val="22"/>
        </w:rPr>
        <w:t>(2) Der Verzicht erfolgt als Sanierungsbeitrag und ist als Anlage 6 notariell beurkundet.</w:t>
      </w:r>
    </w:p>
    <w:p>
      <w:pPr>
        <w:spacing w:after="80"/>
      </w:pPr>
      <w:r>
        <w:rPr>
          <w:rFonts w:ascii="Calibri" w:hAnsi="Calibri"/>
          <w:b w:val="0"/>
          <w:sz w:val="22"/>
        </w:rPr>
        <w:t>(3) Steuerliche Behandlung: Der Sanierungsgewinn ist nach § 3a EStG steuerfrei, sofern der Antrag vom 2. Juni 2026 positiv beschieden wird. Bei Ablehnung ist die Steuerlast im Liquiditätsplan zu berücksichtigen.</w:t>
      </w:r>
    </w:p>
    <w:p>
      <w:pPr>
        <w:spacing w:before="240" w:after="80"/>
      </w:pPr>
      <w:r>
        <w:rPr>
          <w:rFonts w:ascii="Calibri" w:hAnsi="Calibri"/>
          <w:b/>
          <w:sz w:val="28"/>
        </w:rPr>
        <w:t>Abschnitt VII: Investor-Darlehen und neue Finanzierung</w:t>
      </w:r>
    </w:p>
    <w:p>
      <w:pPr>
        <w:spacing w:before="240" w:after="80"/>
      </w:pPr>
      <w:r>
        <w:rPr>
          <w:rFonts w:ascii="Calibri" w:hAnsi="Calibri"/>
          <w:b/>
          <w:sz w:val="24"/>
        </w:rPr>
        <w:t>§ 11  Investor-Darlehen Nordlicht Turnaround Fonds</w:t>
      </w:r>
    </w:p>
    <w:p>
      <w:pPr>
        <w:spacing w:after="80"/>
      </w:pPr>
      <w:r>
        <w:rPr>
          <w:rFonts w:ascii="Calibri" w:hAnsi="Calibri"/>
          <w:b w:val="0"/>
          <w:sz w:val="22"/>
        </w:rPr>
        <w:t>(1) Die Nordlicht Turnaround Fonds GmbH &amp; Co. KG stellt der Schuldnerin ein Mezzanine-Darlehen von 1.400.000 Euro zur Verfügung. Das Darlehen ist gemäß Term Sheet vom 26. Mai 2026 ausgestaltet.</w:t>
      </w:r>
    </w:p>
    <w:p>
      <w:pPr>
        <w:spacing w:after="80"/>
      </w:pPr>
      <w:r>
        <w:rPr>
          <w:rFonts w:ascii="Calibri" w:hAnsi="Calibri"/>
          <w:b w:val="0"/>
          <w:sz w:val="22"/>
        </w:rPr>
        <w:t>(2) Bei Nicht-Einbringung der Investor-Tranche wegen eines MAC-Ereignisses ist der Plan aufzuheben; die Schuldnerin stellt unverzüglich Regelinsolvenzantrag.</w:t>
      </w:r>
    </w:p>
    <w:p>
      <w:pPr>
        <w:spacing w:before="240" w:after="80"/>
      </w:pPr>
      <w:r>
        <w:rPr>
          <w:rFonts w:ascii="Calibri" w:hAnsi="Calibri"/>
          <w:b/>
          <w:sz w:val="28"/>
        </w:rPr>
        <w:t>Abschnitt VIII: Planvollzug und Überwachung</w:t>
      </w:r>
    </w:p>
    <w:p>
      <w:pPr>
        <w:spacing w:before="240" w:after="80"/>
      </w:pPr>
      <w:r>
        <w:rPr>
          <w:rFonts w:ascii="Calibri" w:hAnsi="Calibri"/>
          <w:b/>
          <w:sz w:val="24"/>
        </w:rPr>
        <w:t>§ 12  Planüberwachung</w:t>
      </w:r>
    </w:p>
    <w:p>
      <w:pPr>
        <w:spacing w:after="80"/>
      </w:pPr>
      <w:r>
        <w:rPr>
          <w:rFonts w:ascii="Calibri" w:hAnsi="Calibri"/>
          <w:b w:val="0"/>
          <w:sz w:val="22"/>
        </w:rPr>
        <w:t>(1) Die Planüberwachung (§ 261 InsO) wird für 24 Monate angeordnet.</w:t>
      </w:r>
    </w:p>
    <w:p>
      <w:pPr>
        <w:spacing w:after="80"/>
      </w:pPr>
      <w:r>
        <w:rPr>
          <w:rFonts w:ascii="Calibri" w:hAnsi="Calibri"/>
          <w:b w:val="0"/>
          <w:sz w:val="22"/>
        </w:rPr>
        <w:t>(2) Der Treuhänder erhält 2.500 Euro/Monat zzgl. MwSt. und hat jederzeit Einsicht in die Bücher.</w:t>
      </w:r>
    </w:p>
    <w:p>
      <w:pPr>
        <w:spacing w:after="80"/>
      </w:pPr>
      <w:r>
        <w:rPr>
          <w:rFonts w:ascii="Calibri" w:hAnsi="Calibri"/>
          <w:b w:val="0"/>
          <w:sz w:val="22"/>
        </w:rPr>
        <w:t>(3) Bei wesentlicher Abweichung (Umsatz oder EBITDA &gt; 20 % unter Plan) informiert der Treuhänder unverzüglich den Gläubigerausschuss und das Insolvenzgericht.</w:t>
      </w:r>
    </w:p>
    <w:p>
      <w:pPr>
        <w:spacing w:before="240" w:after="80"/>
      </w:pPr>
      <w:r>
        <w:rPr>
          <w:rFonts w:ascii="Calibri" w:hAnsi="Calibri"/>
          <w:b/>
          <w:sz w:val="24"/>
        </w:rPr>
        <w:t>§ 13  Aufhebung und Befreiung</w:t>
      </w:r>
    </w:p>
    <w:p>
      <w:pPr>
        <w:spacing w:after="80"/>
      </w:pPr>
      <w:r>
        <w:rPr>
          <w:rFonts w:ascii="Calibri" w:hAnsi="Calibri"/>
          <w:b w:val="0"/>
          <w:sz w:val="22"/>
        </w:rPr>
        <w:t>Mit vollständiger Zahlung aller Planraten und Ablauf der Überwachungsfrist gilt das Insolvenzverfahren als aufgehoben. Die Schuldnerin ist von weiteren Insolvenzforderungen nach § 254 InsO befreit.</w:t>
      </w:r>
    </w:p>
    <w:sectPr w:rsidR="00FC693F" w:rsidRPr="0006063C" w:rsidSect="00034616">
      <w:pgSz w:w="12240" w:h="15840"/>
      <w:pgMar w:top="1417" w:right="1417"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