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left"/>
      </w:pPr>
      <w:r>
        <w:rPr>
          <w:rFonts w:ascii="Calibri" w:hAnsi="Calibri"/>
          <w:b/>
          <w:color w:val="003C5A"/>
          <w:sz w:val="28"/>
        </w:rPr>
        <w:t>WESTPHAL &amp; PARTNER RECHTSANWÄLTE PartGmbB</w:t>
      </w:r>
    </w:p>
    <w:p>
      <w:r>
        <w:rPr>
          <w:rFonts w:ascii="Calibri" w:hAnsi="Calibri"/>
          <w:b w:val="0"/>
          <w:color w:val="646464"/>
          <w:sz w:val="18"/>
        </w:rPr>
        <w:t>Große Bleichen 19  |  20354 Hamburg  |  Tel. 040 / 38 84 21-0  |  kanzlei@westphal-partner.de</w:t>
      </w:r>
    </w:p>
    <w:p/>
    <w:p>
      <w:pPr>
        <w:jc w:val="right"/>
      </w:pPr>
      <w:r>
        <w:rPr>
          <w:rFonts w:ascii="Calibri" w:hAnsi="Calibri"/>
          <w:b w:val="0"/>
          <w:sz w:val="22"/>
        </w:rPr>
        <w:t>Hamburg, den 12. Mai 2026</w:t>
      </w:r>
    </w:p>
    <w:p>
      <w:pPr>
        <w:spacing w:before="240" w:after="80"/>
      </w:pPr>
      <w:r>
        <w:rPr>
          <w:rFonts w:ascii="Calibri" w:hAnsi="Calibri"/>
          <w:b/>
          <w:sz w:val="24"/>
        </w:rPr>
        <w:t>MANDATSNOTIZ – INTERN VERTRAULICH</w:t>
      </w:r>
    </w:p>
    <w:tbl>
      <w:tblPr>
        <w:tblStyle w:val="TableGrid"/>
        <w:tblW w:type="auto" w:w="0"/>
        <w:tblLook w:firstColumn="1" w:firstRow="1" w:lastColumn="0" w:lastRow="0" w:noHBand="0" w:noVBand="1" w:val="04A0"/>
      </w:tblPr>
      <w:tblGrid>
        <w:gridCol w:w="4561"/>
        <w:gridCol w:w="4561"/>
      </w:tblGrid>
      <w:tr>
        <w:tc>
          <w:tcPr>
            <w:tcW w:type="dxa" w:w="4561"/>
          </w:tcPr>
          <w:p>
            <w:r>
              <w:rPr>
                <w:rFonts w:ascii="Calibri" w:hAnsi="Calibri"/>
                <w:b/>
                <w:sz w:val="20"/>
              </w:rPr>
              <w:t>Aktenzeichen</w:t>
            </w:r>
          </w:p>
        </w:tc>
        <w:tc>
          <w:tcPr>
            <w:tcW w:type="dxa" w:w="4561"/>
          </w:tcPr>
          <w:p>
            <w:r>
              <w:rPr>
                <w:rFonts w:ascii="Calibri" w:hAnsi="Calibri"/>
                <w:b w:val="0"/>
                <w:sz w:val="20"/>
              </w:rPr>
              <w:t>MH-2026-001</w:t>
            </w:r>
          </w:p>
        </w:tc>
      </w:tr>
      <w:tr>
        <w:tc>
          <w:tcPr>
            <w:tcW w:type="dxa" w:w="4561"/>
          </w:tcPr>
          <w:p>
            <w:r>
              <w:rPr>
                <w:rFonts w:ascii="Calibri" w:hAnsi="Calibri"/>
                <w:b/>
                <w:sz w:val="20"/>
              </w:rPr>
              <w:t>Mandant</w:t>
            </w:r>
          </w:p>
        </w:tc>
        <w:tc>
          <w:tcPr>
            <w:tcW w:type="dxa" w:w="4561"/>
          </w:tcPr>
          <w:p>
            <w:r>
              <w:rPr>
                <w:rFonts w:ascii="Calibri" w:hAnsi="Calibri"/>
                <w:b w:val="0"/>
                <w:sz w:val="20"/>
              </w:rPr>
              <w:t>Metallbau Hansa GmbH, Billbrookdeich 127, 22113 Hamburg</w:t>
            </w:r>
          </w:p>
        </w:tc>
      </w:tr>
      <w:tr>
        <w:tc>
          <w:tcPr>
            <w:tcW w:type="dxa" w:w="4561"/>
          </w:tcPr>
          <w:p>
            <w:r>
              <w:rPr>
                <w:rFonts w:ascii="Calibri" w:hAnsi="Calibri"/>
                <w:b/>
                <w:sz w:val="20"/>
              </w:rPr>
              <w:t>Anwesend</w:t>
            </w:r>
          </w:p>
        </w:tc>
        <w:tc>
          <w:tcPr>
            <w:tcW w:type="dxa" w:w="4561"/>
          </w:tcPr>
          <w:p>
            <w:r>
              <w:rPr>
                <w:rFonts w:ascii="Calibri" w:hAnsi="Calibri"/>
                <w:b w:val="0"/>
                <w:sz w:val="20"/>
              </w:rPr>
              <w:t>Anna Reimers (GF), Lukas Petersen (GF), Björn Hollender (CFO)</w:t>
            </w:r>
          </w:p>
        </w:tc>
      </w:tr>
      <w:tr>
        <w:tc>
          <w:tcPr>
            <w:tcW w:type="dxa" w:w="4561"/>
          </w:tcPr>
          <w:p>
            <w:r>
              <w:rPr>
                <w:rFonts w:ascii="Calibri" w:hAnsi="Calibri"/>
                <w:b/>
                <w:sz w:val="20"/>
              </w:rPr>
              <w:t>Verfasserin</w:t>
            </w:r>
          </w:p>
        </w:tc>
        <w:tc>
          <w:tcPr>
            <w:tcW w:type="dxa" w:w="4561"/>
          </w:tcPr>
          <w:p>
            <w:r>
              <w:rPr>
                <w:rFonts w:ascii="Calibri" w:hAnsi="Calibri"/>
                <w:b w:val="0"/>
                <w:sz w:val="20"/>
              </w:rPr>
              <w:t>RA Dr. Karolin Westphal</w:t>
            </w:r>
          </w:p>
        </w:tc>
      </w:tr>
      <w:tr>
        <w:tc>
          <w:tcPr>
            <w:tcW w:type="dxa" w:w="4561"/>
          </w:tcPr>
          <w:p>
            <w:r>
              <w:rPr>
                <w:rFonts w:ascii="Calibri" w:hAnsi="Calibri"/>
                <w:b/>
                <w:sz w:val="20"/>
              </w:rPr>
              <w:t>Datum Gespräch</w:t>
            </w:r>
          </w:p>
        </w:tc>
        <w:tc>
          <w:tcPr>
            <w:tcW w:type="dxa" w:w="4561"/>
          </w:tcPr>
          <w:p>
            <w:r>
              <w:rPr>
                <w:rFonts w:ascii="Calibri" w:hAnsi="Calibri"/>
                <w:b w:val="0"/>
                <w:sz w:val="20"/>
              </w:rPr>
              <w:t>12. Mai 2026, 10:00–13:30 Uhr</w:t>
            </w:r>
          </w:p>
        </w:tc>
      </w:tr>
      <w:tr>
        <w:tc>
          <w:tcPr>
            <w:tcW w:type="dxa" w:w="4561"/>
          </w:tcPr>
          <w:p>
            <w:r>
              <w:rPr>
                <w:rFonts w:ascii="Calibri" w:hAnsi="Calibri"/>
                <w:b/>
                <w:sz w:val="20"/>
              </w:rPr>
              <w:t>Ort</w:t>
            </w:r>
          </w:p>
        </w:tc>
        <w:tc>
          <w:tcPr>
            <w:tcW w:type="dxa" w:w="4561"/>
          </w:tcPr>
          <w:p>
            <w:r>
              <w:rPr>
                <w:rFonts w:ascii="Calibri" w:hAnsi="Calibri"/>
                <w:b w:val="0"/>
                <w:sz w:val="20"/>
              </w:rPr>
              <w:t>Kanzlei Westphal &amp; Partner, Große Bleichen 19, Hamburg</w:t>
            </w:r>
          </w:p>
        </w:tc>
      </w:tr>
      <w:tr>
        <w:tc>
          <w:tcPr>
            <w:tcW w:type="dxa" w:w="4561"/>
          </w:tcPr>
          <w:p>
            <w:r>
              <w:rPr>
                <w:rFonts w:ascii="Calibri" w:hAnsi="Calibri"/>
                <w:b/>
                <w:sz w:val="20"/>
              </w:rPr>
              <w:t>Status</w:t>
            </w:r>
          </w:p>
        </w:tc>
        <w:tc>
          <w:tcPr>
            <w:tcW w:type="dxa" w:w="4561"/>
          </w:tcPr>
          <w:p>
            <w:r>
              <w:rPr>
                <w:rFonts w:ascii="Calibri" w:hAnsi="Calibri"/>
                <w:b w:val="0"/>
                <w:sz w:val="20"/>
              </w:rPr>
              <w:t>Intern; unterliegt anwaltlichem Berufsgeheimnis</w:t>
            </w:r>
          </w:p>
        </w:tc>
      </w:tr>
    </w:tbl>
    <w:p/>
    <w:p>
      <w:pPr>
        <w:spacing w:before="240" w:after="80"/>
      </w:pPr>
      <w:r>
        <w:rPr>
          <w:rFonts w:ascii="Calibri" w:hAnsi="Calibri"/>
          <w:b/>
          <w:sz w:val="24"/>
        </w:rPr>
        <w:t>1. Ausgangslage und Mandatsanlass</w:t>
      </w:r>
    </w:p>
    <w:p>
      <w:pPr>
        <w:spacing w:after="80"/>
      </w:pPr>
      <w:r>
        <w:rPr>
          <w:rFonts w:ascii="Calibri" w:hAnsi="Calibri"/>
          <w:b w:val="0"/>
          <w:sz w:val="22"/>
        </w:rPr>
        <w:t>Die Metallbau Hansa GmbH ist ein in Hamburg-Billbrook ansässiger Metallbaudienstleister mit rund 86 Beschäftigten. Das Unternehmen fertigt Stahlbaugruppen, Trägerkonstruktionen und Moduleinheiten für kommunale Wärmeprojekte, Bahnstationen sowie industrielle Anlagenbauer. Der erzielte Jahresumsatz lag im Geschäftsjahr 2024 bei 18,4 Mio. Euro und ist 2025 vorläufig auf 16,9 Mio. Euro eingebrochen.</w:t>
      </w:r>
    </w:p>
    <w:p>
      <w:pPr>
        <w:spacing w:after="80"/>
      </w:pPr>
      <w:r>
        <w:rPr>
          <w:rFonts w:ascii="Calibri" w:hAnsi="Calibri"/>
          <w:b w:val="0"/>
          <w:sz w:val="22"/>
        </w:rPr>
        <w:t>Geschäftsführerin Anna Reimers hat die Kanzlei am 7. Mai 2026 telefonisch kontaktiert und um dringenden Beratungstermin gebeten. Die Gesellschaft steht vor der Frage, ob eine außergerichtliche Einigung, ein StaRUG-Restrukturierungsplan oder ein Insolvenzplan in Eigenverwaltung die geeignete Lösung darstellt.</w:t>
      </w:r>
    </w:p>
    <w:p>
      <w:pPr>
        <w:spacing w:before="240" w:after="80"/>
      </w:pPr>
      <w:r>
        <w:rPr>
          <w:rFonts w:ascii="Calibri" w:hAnsi="Calibri"/>
          <w:b/>
          <w:sz w:val="24"/>
        </w:rPr>
        <w:t>2. Wesentliche Gläubiger (Zusammenfassung)</w:t>
      </w:r>
    </w:p>
    <w:tbl>
      <w:tblPr>
        <w:tblStyle w:val="TableGrid"/>
        <w:tblW w:type="auto" w:w="0"/>
        <w:tblLook w:firstColumn="1" w:firstRow="1" w:lastColumn="0" w:lastRow="0" w:noHBand="0" w:noVBand="1" w:val="04A0"/>
      </w:tblPr>
      <w:tblGrid>
        <w:gridCol w:w="1824"/>
        <w:gridCol w:w="1824"/>
        <w:gridCol w:w="1824"/>
        <w:gridCol w:w="1824"/>
        <w:gridCol w:w="1824"/>
      </w:tblGrid>
      <w:tr>
        <w:tc>
          <w:tcPr>
            <w:tcW w:type="dxa" w:w="1824"/>
          </w:tcPr>
          <w:p>
            <w:pPr>
              <w:spacing w:after="40"/>
            </w:pPr>
            <w:r>
              <w:rPr>
                <w:rFonts w:ascii="Calibri" w:hAnsi="Calibri"/>
                <w:b/>
                <w:sz w:val="18"/>
              </w:rPr>
              <w:t>Gläubiger</w:t>
            </w:r>
          </w:p>
        </w:tc>
        <w:tc>
          <w:tcPr>
            <w:tcW w:type="dxa" w:w="1824"/>
          </w:tcPr>
          <w:p>
            <w:pPr>
              <w:spacing w:after="40"/>
            </w:pPr>
            <w:r>
              <w:rPr>
                <w:rFonts w:ascii="Calibri" w:hAnsi="Calibri"/>
                <w:b/>
                <w:sz w:val="18"/>
              </w:rPr>
              <w:t>Forderung (€)</w:t>
            </w:r>
          </w:p>
        </w:tc>
        <w:tc>
          <w:tcPr>
            <w:tcW w:type="dxa" w:w="1824"/>
          </w:tcPr>
          <w:p>
            <w:pPr>
              <w:spacing w:after="40"/>
            </w:pPr>
            <w:r>
              <w:rPr>
                <w:rFonts w:ascii="Calibri" w:hAnsi="Calibri"/>
                <w:b/>
                <w:sz w:val="18"/>
              </w:rPr>
              <w:t>Rang</w:t>
            </w:r>
          </w:p>
        </w:tc>
        <w:tc>
          <w:tcPr>
            <w:tcW w:type="dxa" w:w="1824"/>
          </w:tcPr>
          <w:p>
            <w:pPr>
              <w:spacing w:after="40"/>
            </w:pPr>
            <w:r>
              <w:rPr>
                <w:rFonts w:ascii="Calibri" w:hAnsi="Calibri"/>
                <w:b/>
                <w:sz w:val="18"/>
              </w:rPr>
              <w:t>Sicherheit</w:t>
            </w:r>
          </w:p>
        </w:tc>
        <w:tc>
          <w:tcPr>
            <w:tcW w:type="dxa" w:w="1824"/>
          </w:tcPr>
          <w:p>
            <w:pPr>
              <w:spacing w:after="40"/>
            </w:pPr>
            <w:r>
              <w:rPr>
                <w:rFonts w:ascii="Calibri" w:hAnsi="Calibri"/>
                <w:b/>
                <w:sz w:val="18"/>
              </w:rPr>
              <w:t>Kommentar</w:t>
            </w:r>
          </w:p>
        </w:tc>
      </w:tr>
      <w:tr>
        <w:tc>
          <w:tcPr>
            <w:tcW w:type="dxa" w:w="1824"/>
          </w:tcPr>
          <w:p>
            <w:r/>
            <w:r>
              <w:rPr>
                <w:rFonts w:ascii="Calibri" w:hAnsi="Calibri"/>
                <w:sz w:val="20"/>
              </w:rPr>
              <w:t>NordBank AG</w:t>
            </w:r>
          </w:p>
        </w:tc>
        <w:tc>
          <w:tcPr>
            <w:tcW w:type="dxa" w:w="1824"/>
          </w:tcPr>
          <w:p>
            <w:r/>
            <w:r>
              <w:rPr>
                <w:rFonts w:ascii="Calibri" w:hAnsi="Calibri"/>
                <w:sz w:val="20"/>
              </w:rPr>
              <w:t>4.200.000</w:t>
            </w:r>
          </w:p>
        </w:tc>
        <w:tc>
          <w:tcPr>
            <w:tcW w:type="dxa" w:w="1824"/>
          </w:tcPr>
          <w:p>
            <w:r/>
            <w:r>
              <w:rPr>
                <w:rFonts w:ascii="Calibri" w:hAnsi="Calibri"/>
                <w:sz w:val="20"/>
              </w:rPr>
              <w:t>nicht nachrangig</w:t>
            </w:r>
          </w:p>
        </w:tc>
        <w:tc>
          <w:tcPr>
            <w:tcW w:type="dxa" w:w="1824"/>
          </w:tcPr>
          <w:p>
            <w:r/>
            <w:r>
              <w:rPr>
                <w:rFonts w:ascii="Calibri" w:hAnsi="Calibri"/>
                <w:sz w:val="20"/>
              </w:rPr>
              <w:t>SÜ Maschinen + Globalzession</w:t>
            </w:r>
          </w:p>
        </w:tc>
        <w:tc>
          <w:tcPr>
            <w:tcW w:type="dxa" w:w="1824"/>
          </w:tcPr>
          <w:p>
            <w:r/>
            <w:r>
              <w:rPr>
                <w:rFonts w:ascii="Calibri" w:hAnsi="Calibri"/>
                <w:sz w:val="20"/>
              </w:rPr>
              <w:t>Kontokorrent gekündigt zum 30.06.2026</w:t>
            </w:r>
          </w:p>
        </w:tc>
      </w:tr>
      <w:tr>
        <w:tc>
          <w:tcPr>
            <w:tcW w:type="dxa" w:w="1824"/>
          </w:tcPr>
          <w:p>
            <w:r/>
            <w:r>
              <w:rPr>
                <w:rFonts w:ascii="Calibri" w:hAnsi="Calibri"/>
                <w:sz w:val="20"/>
              </w:rPr>
              <w:t>LeasingWerk GmbH</w:t>
            </w:r>
          </w:p>
        </w:tc>
        <w:tc>
          <w:tcPr>
            <w:tcW w:type="dxa" w:w="1824"/>
          </w:tcPr>
          <w:p>
            <w:r/>
            <w:r>
              <w:rPr>
                <w:rFonts w:ascii="Calibri" w:hAnsi="Calibri"/>
                <w:sz w:val="20"/>
              </w:rPr>
              <w:t>740.000</w:t>
            </w:r>
          </w:p>
        </w:tc>
        <w:tc>
          <w:tcPr>
            <w:tcW w:type="dxa" w:w="1824"/>
          </w:tcPr>
          <w:p>
            <w:r/>
            <w:r>
              <w:rPr>
                <w:rFonts w:ascii="Calibri" w:hAnsi="Calibri"/>
                <w:sz w:val="20"/>
              </w:rPr>
              <w:t>nicht nachrangig</w:t>
            </w:r>
          </w:p>
        </w:tc>
        <w:tc>
          <w:tcPr>
            <w:tcW w:type="dxa" w:w="1824"/>
          </w:tcPr>
          <w:p>
            <w:r/>
            <w:r>
              <w:rPr>
                <w:rFonts w:ascii="Calibri" w:hAnsi="Calibri"/>
                <w:sz w:val="20"/>
              </w:rPr>
              <w:t>Aussonderungsrecht Leasingobjekte</w:t>
            </w:r>
          </w:p>
        </w:tc>
        <w:tc>
          <w:tcPr>
            <w:tcW w:type="dxa" w:w="1824"/>
          </w:tcPr>
          <w:p>
            <w:r/>
            <w:r>
              <w:rPr>
                <w:rFonts w:ascii="Calibri" w:hAnsi="Calibri"/>
                <w:sz w:val="20"/>
              </w:rPr>
              <w:t>Rückstand 1 Rate</w:t>
            </w:r>
          </w:p>
        </w:tc>
      </w:tr>
      <w:tr>
        <w:tc>
          <w:tcPr>
            <w:tcW w:type="dxa" w:w="1824"/>
          </w:tcPr>
          <w:p>
            <w:r/>
            <w:r>
              <w:rPr>
                <w:rFonts w:ascii="Calibri" w:hAnsi="Calibri"/>
                <w:sz w:val="20"/>
              </w:rPr>
              <w:t>Stahlhandel Küste</w:t>
            </w:r>
          </w:p>
        </w:tc>
        <w:tc>
          <w:tcPr>
            <w:tcW w:type="dxa" w:w="1824"/>
          </w:tcPr>
          <w:p>
            <w:r/>
            <w:r>
              <w:rPr>
                <w:rFonts w:ascii="Calibri" w:hAnsi="Calibri"/>
                <w:sz w:val="20"/>
              </w:rPr>
              <w:t>610.000</w:t>
            </w:r>
          </w:p>
        </w:tc>
        <w:tc>
          <w:tcPr>
            <w:tcW w:type="dxa" w:w="1824"/>
          </w:tcPr>
          <w:p>
            <w:r/>
            <w:r>
              <w:rPr>
                <w:rFonts w:ascii="Calibri" w:hAnsi="Calibri"/>
                <w:sz w:val="20"/>
              </w:rPr>
              <w:t>nicht nachrangig</w:t>
            </w:r>
          </w:p>
        </w:tc>
        <w:tc>
          <w:tcPr>
            <w:tcW w:type="dxa" w:w="1824"/>
          </w:tcPr>
          <w:p>
            <w:r/>
            <w:r>
              <w:rPr>
                <w:rFonts w:ascii="Calibri" w:hAnsi="Calibri"/>
                <w:sz w:val="20"/>
              </w:rPr>
              <w:t>Verl. Eigentumsvorbehalt</w:t>
            </w:r>
          </w:p>
        </w:tc>
        <w:tc>
          <w:tcPr>
            <w:tcW w:type="dxa" w:w="1824"/>
          </w:tcPr>
          <w:p>
            <w:r/>
            <w:r>
              <w:rPr>
                <w:rFonts w:ascii="Calibri" w:hAnsi="Calibri"/>
                <w:sz w:val="20"/>
              </w:rPr>
              <w:t>Lieferstopp droht</w:t>
            </w:r>
          </w:p>
        </w:tc>
      </w:tr>
      <w:tr>
        <w:tc>
          <w:tcPr>
            <w:tcW w:type="dxa" w:w="1824"/>
          </w:tcPr>
          <w:p>
            <w:r/>
            <w:r>
              <w:rPr>
                <w:rFonts w:ascii="Calibri" w:hAnsi="Calibri"/>
                <w:sz w:val="20"/>
              </w:rPr>
              <w:t>Finanzamt Hamburg</w:t>
            </w:r>
          </w:p>
        </w:tc>
        <w:tc>
          <w:tcPr>
            <w:tcW w:type="dxa" w:w="1824"/>
          </w:tcPr>
          <w:p>
            <w:r/>
            <w:r>
              <w:rPr>
                <w:rFonts w:ascii="Calibri" w:hAnsi="Calibri"/>
                <w:sz w:val="20"/>
              </w:rPr>
              <w:t>480.000</w:t>
            </w:r>
          </w:p>
        </w:tc>
        <w:tc>
          <w:tcPr>
            <w:tcW w:type="dxa" w:w="1824"/>
          </w:tcPr>
          <w:p>
            <w:r/>
            <w:r>
              <w:rPr>
                <w:rFonts w:ascii="Calibri" w:hAnsi="Calibri"/>
                <w:sz w:val="20"/>
              </w:rPr>
              <w:t>nicht nachrangig</w:t>
            </w:r>
          </w:p>
        </w:tc>
        <w:tc>
          <w:tcPr>
            <w:tcW w:type="dxa" w:w="1824"/>
          </w:tcPr>
          <w:p>
            <w:r/>
            <w:r>
              <w:rPr>
                <w:rFonts w:ascii="Calibri" w:hAnsi="Calibri"/>
                <w:sz w:val="20"/>
              </w:rPr>
              <w:t>keine</w:t>
            </w:r>
          </w:p>
        </w:tc>
        <w:tc>
          <w:tcPr>
            <w:tcW w:type="dxa" w:w="1824"/>
          </w:tcPr>
          <w:p>
            <w:r/>
            <w:r>
              <w:rPr>
                <w:rFonts w:ascii="Calibri" w:hAnsi="Calibri"/>
                <w:sz w:val="20"/>
              </w:rPr>
              <w:t>USt + LSt; Stundungsantrag</w:t>
            </w:r>
          </w:p>
        </w:tc>
      </w:tr>
      <w:tr>
        <w:tc>
          <w:tcPr>
            <w:tcW w:type="dxa" w:w="1824"/>
          </w:tcPr>
          <w:p>
            <w:r/>
            <w:r>
              <w:rPr>
                <w:rFonts w:ascii="Calibri" w:hAnsi="Calibri"/>
                <w:sz w:val="20"/>
              </w:rPr>
              <w:t>Hansa Beteiligungs UG</w:t>
            </w:r>
          </w:p>
        </w:tc>
        <w:tc>
          <w:tcPr>
            <w:tcW w:type="dxa" w:w="1824"/>
          </w:tcPr>
          <w:p>
            <w:r/>
            <w:r>
              <w:rPr>
                <w:rFonts w:ascii="Calibri" w:hAnsi="Calibri"/>
                <w:sz w:val="20"/>
              </w:rPr>
              <w:t>950.000</w:t>
            </w:r>
          </w:p>
        </w:tc>
        <w:tc>
          <w:tcPr>
            <w:tcW w:type="dxa" w:w="1824"/>
          </w:tcPr>
          <w:p>
            <w:r/>
            <w:r>
              <w:rPr>
                <w:rFonts w:ascii="Calibri" w:hAnsi="Calibri"/>
                <w:sz w:val="20"/>
              </w:rPr>
              <w:t>nachrangig</w:t>
            </w:r>
          </w:p>
        </w:tc>
        <w:tc>
          <w:tcPr>
            <w:tcW w:type="dxa" w:w="1824"/>
          </w:tcPr>
          <w:p>
            <w:r/>
            <w:r>
              <w:rPr>
                <w:rFonts w:ascii="Calibri" w:hAnsi="Calibri"/>
                <w:sz w:val="20"/>
              </w:rPr>
              <w:t>keine</w:t>
            </w:r>
          </w:p>
        </w:tc>
        <w:tc>
          <w:tcPr>
            <w:tcW w:type="dxa" w:w="1824"/>
          </w:tcPr>
          <w:p>
            <w:r/>
            <w:r>
              <w:rPr>
                <w:rFonts w:ascii="Calibri" w:hAnsi="Calibri"/>
                <w:sz w:val="20"/>
              </w:rPr>
              <w:t>Gesellschafterdarlehen; Verzicht geplant</w:t>
            </w:r>
          </w:p>
        </w:tc>
      </w:tr>
    </w:tbl>
    <w:p/>
    <w:p>
      <w:pPr>
        <w:spacing w:before="240" w:after="80"/>
      </w:pPr>
      <w:r>
        <w:rPr>
          <w:rFonts w:ascii="Calibri" w:hAnsi="Calibri"/>
          <w:b/>
          <w:sz w:val="24"/>
        </w:rPr>
        <w:t>3. Verfahrensalternativen</w:t>
      </w:r>
    </w:p>
    <w:p>
      <w:pPr>
        <w:pStyle w:val="ListBullet"/>
      </w:pPr>
      <w:r>
        <w:rPr>
          <w:rFonts w:ascii="Calibri" w:hAnsi="Calibri"/>
          <w:b/>
          <w:sz w:val="22"/>
        </w:rPr>
        <w:t xml:space="preserve">Option A – Außergerichtliche Einigung: </w:t>
      </w:r>
      <w:r>
        <w:rPr>
          <w:rFonts w:ascii="Calibri" w:hAnsi="Calibri"/>
          <w:b w:val="0"/>
          <w:sz w:val="22"/>
        </w:rPr>
        <w:t>Alle Gläubiger müssen kooperieren. Risiko: Einzelgläubiger bricht aus. Nur realistisch bei Stundungsbereitschaft des Finanzamts UND der NordBank.</w:t>
      </w:r>
    </w:p>
    <w:p>
      <w:pPr>
        <w:pStyle w:val="ListBullet"/>
      </w:pPr>
      <w:r>
        <w:rPr>
          <w:rFonts w:ascii="Calibri" w:hAnsi="Calibri"/>
          <w:b/>
          <w:sz w:val="22"/>
        </w:rPr>
        <w:t xml:space="preserve">Option B – StaRUG-Restrukturierungsplan: </w:t>
      </w:r>
      <w:r>
        <w:rPr>
          <w:rFonts w:ascii="Calibri" w:hAnsi="Calibri"/>
          <w:b w:val="0"/>
          <w:sz w:val="22"/>
        </w:rPr>
        <w:t>Einbeziehung nur der Finanzgläubiger. Kein Insolvenzgeld. Schneller (3–4 Monate). Voraussetzung: noch keine Zahlungsunfähigkeit.</w:t>
      </w:r>
    </w:p>
    <w:p>
      <w:pPr>
        <w:pStyle w:val="ListBullet"/>
      </w:pPr>
      <w:r>
        <w:rPr>
          <w:rFonts w:ascii="Calibri" w:hAnsi="Calibri"/>
          <w:b/>
          <w:sz w:val="22"/>
        </w:rPr>
        <w:t xml:space="preserve">Option C – Insolvenzplan Eigenverwaltung: </w:t>
      </w:r>
      <w:r>
        <w:rPr>
          <w:rFonts w:ascii="Calibri" w:hAnsi="Calibri"/>
          <w:b w:val="0"/>
          <w:sz w:val="22"/>
        </w:rPr>
        <w:t>Alle Gläubiger planmäßig. Insolvenzgeld sichert 3 Monate Löhne. Cram-Down gegen NordBank möglich. Zeitbedarf 6–9 Monate. EMPFOHLEN.</w:t>
      </w:r>
    </w:p>
    <w:p>
      <w:pPr>
        <w:spacing w:before="240" w:after="80"/>
      </w:pPr>
      <w:r>
        <w:rPr>
          <w:rFonts w:ascii="Calibri" w:hAnsi="Calibri"/>
          <w:b/>
          <w:sz w:val="24"/>
        </w:rPr>
        <w:t>4. Sofortige nächste Schritte</w:t>
      </w:r>
    </w:p>
    <w:tbl>
      <w:tblPr>
        <w:tblStyle w:val="TableGrid"/>
        <w:tblW w:type="auto" w:w="0"/>
        <w:tblLook w:firstColumn="1" w:firstRow="1" w:lastColumn="0" w:lastRow="0" w:noHBand="0" w:noVBand="1" w:val="04A0"/>
      </w:tblPr>
      <w:tblGrid>
        <w:gridCol w:w="3041"/>
        <w:gridCol w:w="3041"/>
        <w:gridCol w:w="3041"/>
      </w:tblGrid>
      <w:tr>
        <w:tc>
          <w:tcPr>
            <w:tcW w:type="dxa" w:w="3041"/>
          </w:tcPr>
          <w:p>
            <w:r>
              <w:rPr>
                <w:rFonts w:ascii="Calibri" w:hAnsi="Calibri"/>
                <w:b/>
                <w:sz w:val="20"/>
              </w:rPr>
              <w:t>Schritt</w:t>
            </w:r>
          </w:p>
        </w:tc>
        <w:tc>
          <w:tcPr>
            <w:tcW w:type="dxa" w:w="3041"/>
          </w:tcPr>
          <w:p>
            <w:r>
              <w:rPr>
                <w:rFonts w:ascii="Calibri" w:hAnsi="Calibri"/>
                <w:b/>
                <w:sz w:val="20"/>
              </w:rPr>
              <w:t>Frist</w:t>
            </w:r>
          </w:p>
        </w:tc>
        <w:tc>
          <w:tcPr>
            <w:tcW w:type="dxa" w:w="3041"/>
          </w:tcPr>
          <w:p>
            <w:r>
              <w:rPr>
                <w:rFonts w:ascii="Calibri" w:hAnsi="Calibri"/>
                <w:b/>
                <w:sz w:val="20"/>
              </w:rPr>
              <w:t>Verantwortlich</w:t>
            </w:r>
          </w:p>
        </w:tc>
      </w:tr>
      <w:tr>
        <w:tc>
          <w:tcPr>
            <w:tcW w:type="dxa" w:w="3041"/>
          </w:tcPr>
          <w:p>
            <w:r/>
            <w:r>
              <w:rPr>
                <w:rFonts w:ascii="Calibri" w:hAnsi="Calibri"/>
                <w:sz w:val="20"/>
              </w:rPr>
              <w:t>13-Wochen-Liquiditätsplanung</w:t>
            </w:r>
          </w:p>
        </w:tc>
        <w:tc>
          <w:tcPr>
            <w:tcW w:type="dxa" w:w="3041"/>
          </w:tcPr>
          <w:p>
            <w:r/>
            <w:r>
              <w:rPr>
                <w:rFonts w:ascii="Calibri" w:hAnsi="Calibri"/>
                <w:sz w:val="20"/>
              </w:rPr>
              <w:t>14.05.2026</w:t>
            </w:r>
          </w:p>
        </w:tc>
        <w:tc>
          <w:tcPr>
            <w:tcW w:type="dxa" w:w="3041"/>
          </w:tcPr>
          <w:p>
            <w:r/>
            <w:r>
              <w:rPr>
                <w:rFonts w:ascii="Calibri" w:hAnsi="Calibri"/>
                <w:sz w:val="20"/>
              </w:rPr>
              <w:t>CFO Hollender</w:t>
            </w:r>
          </w:p>
        </w:tc>
      </w:tr>
      <w:tr>
        <w:tc>
          <w:tcPr>
            <w:tcW w:type="dxa" w:w="3041"/>
          </w:tcPr>
          <w:p>
            <w:r/>
            <w:r>
              <w:rPr>
                <w:rFonts w:ascii="Calibri" w:hAnsi="Calibri"/>
                <w:sz w:val="20"/>
              </w:rPr>
              <w:t>Vorläufiger Überschuldungsstatus</w:t>
            </w:r>
          </w:p>
        </w:tc>
        <w:tc>
          <w:tcPr>
            <w:tcW w:type="dxa" w:w="3041"/>
          </w:tcPr>
          <w:p>
            <w:r/>
            <w:r>
              <w:rPr>
                <w:rFonts w:ascii="Calibri" w:hAnsi="Calibri"/>
                <w:sz w:val="20"/>
              </w:rPr>
              <w:t>16.05.2026</w:t>
            </w:r>
          </w:p>
        </w:tc>
        <w:tc>
          <w:tcPr>
            <w:tcW w:type="dxa" w:w="3041"/>
          </w:tcPr>
          <w:p>
            <w:r/>
            <w:r>
              <w:rPr>
                <w:rFonts w:ascii="Calibri" w:hAnsi="Calibri"/>
                <w:sz w:val="20"/>
              </w:rPr>
              <w:t>StB Dresen</w:t>
            </w:r>
          </w:p>
        </w:tc>
      </w:tr>
      <w:tr>
        <w:tc>
          <w:tcPr>
            <w:tcW w:type="dxa" w:w="3041"/>
          </w:tcPr>
          <w:p>
            <w:r/>
            <w:r>
              <w:rPr>
                <w:rFonts w:ascii="Calibri" w:hAnsi="Calibri"/>
                <w:sz w:val="20"/>
              </w:rPr>
              <w:t>Vollmacht Original</w:t>
            </w:r>
          </w:p>
        </w:tc>
        <w:tc>
          <w:tcPr>
            <w:tcW w:type="dxa" w:w="3041"/>
          </w:tcPr>
          <w:p>
            <w:r/>
            <w:r>
              <w:rPr>
                <w:rFonts w:ascii="Calibri" w:hAnsi="Calibri"/>
                <w:sz w:val="20"/>
              </w:rPr>
              <w:t>13.05.2026</w:t>
            </w:r>
          </w:p>
        </w:tc>
        <w:tc>
          <w:tcPr>
            <w:tcW w:type="dxa" w:w="3041"/>
          </w:tcPr>
          <w:p>
            <w:r/>
            <w:r>
              <w:rPr>
                <w:rFonts w:ascii="Calibri" w:hAnsi="Calibri"/>
                <w:sz w:val="20"/>
              </w:rPr>
              <w:t>GF Reimers</w:t>
            </w:r>
          </w:p>
        </w:tc>
      </w:tr>
      <w:tr>
        <w:tc>
          <w:tcPr>
            <w:tcW w:type="dxa" w:w="3041"/>
          </w:tcPr>
          <w:p>
            <w:r/>
            <w:r>
              <w:rPr>
                <w:rFonts w:ascii="Calibri" w:hAnsi="Calibri"/>
                <w:sz w:val="20"/>
              </w:rPr>
              <w:t>Gläubigerübersicht vollständig</w:t>
            </w:r>
          </w:p>
        </w:tc>
        <w:tc>
          <w:tcPr>
            <w:tcW w:type="dxa" w:w="3041"/>
          </w:tcPr>
          <w:p>
            <w:r/>
            <w:r>
              <w:rPr>
                <w:rFonts w:ascii="Calibri" w:hAnsi="Calibri"/>
                <w:sz w:val="20"/>
              </w:rPr>
              <w:t>14.05.2026</w:t>
            </w:r>
          </w:p>
        </w:tc>
        <w:tc>
          <w:tcPr>
            <w:tcW w:type="dxa" w:w="3041"/>
          </w:tcPr>
          <w:p>
            <w:r/>
            <w:r>
              <w:rPr>
                <w:rFonts w:ascii="Calibri" w:hAnsi="Calibri"/>
                <w:sz w:val="20"/>
              </w:rPr>
              <w:t>CFO Hollender</w:t>
            </w:r>
          </w:p>
        </w:tc>
      </w:tr>
      <w:tr>
        <w:tc>
          <w:tcPr>
            <w:tcW w:type="dxa" w:w="3041"/>
          </w:tcPr>
          <w:p>
            <w:r/>
            <w:r>
              <w:rPr>
                <w:rFonts w:ascii="Calibri" w:hAnsi="Calibri"/>
                <w:sz w:val="20"/>
              </w:rPr>
              <w:t>Gespräch NordBank AG</w:t>
            </w:r>
          </w:p>
        </w:tc>
        <w:tc>
          <w:tcPr>
            <w:tcW w:type="dxa" w:w="3041"/>
          </w:tcPr>
          <w:p>
            <w:r/>
            <w:r>
              <w:rPr>
                <w:rFonts w:ascii="Calibri" w:hAnsi="Calibri"/>
                <w:sz w:val="20"/>
              </w:rPr>
              <w:t>19.05.2026</w:t>
            </w:r>
          </w:p>
        </w:tc>
        <w:tc>
          <w:tcPr>
            <w:tcW w:type="dxa" w:w="3041"/>
          </w:tcPr>
          <w:p>
            <w:r/>
            <w:r>
              <w:rPr>
                <w:rFonts w:ascii="Calibri" w:hAnsi="Calibri"/>
                <w:sz w:val="20"/>
              </w:rPr>
              <w:t>GF Reimers + RA Westphal</w:t>
            </w:r>
          </w:p>
        </w:tc>
      </w:tr>
    </w:tbl>
    <w:p/>
    <w:p>
      <w:pPr>
        <w:spacing w:before="240" w:after="80"/>
      </w:pPr>
      <w:r>
        <w:rPr>
          <w:rFonts w:ascii="Calibri" w:hAnsi="Calibri"/>
          <w:b/>
          <w:sz w:val="24"/>
        </w:rPr>
        <w:t>5. Vergütungsvereinbarung</w:t>
      </w:r>
    </w:p>
    <w:p>
      <w:pPr>
        <w:spacing w:after="80"/>
      </w:pPr>
      <w:r>
        <w:rPr>
          <w:rFonts w:ascii="Calibri" w:hAnsi="Calibri"/>
          <w:b w:val="0"/>
          <w:sz w:val="22"/>
        </w:rPr>
        <w:t>Stundensatz: 320 Euro/Stunde zzgl. MwSt. Vorschuss 15.000 Euro netto bis 15.05.2026. Vollmacht wird am 13.05.2026 im Original nachgereicht.</w:t>
      </w:r>
    </w:p>
    <w:p>
      <w:pPr>
        <w:spacing w:before="240" w:after="80"/>
      </w:pPr>
      <w:r>
        <w:rPr>
          <w:rFonts w:ascii="Calibri" w:hAnsi="Calibri"/>
          <w:b/>
          <w:sz w:val="24"/>
        </w:rPr>
        <w:t>6. Vertraulichkeit und Mandatsgrenzen</w:t>
      </w:r>
    </w:p>
    <w:p>
      <w:pPr>
        <w:spacing w:after="80"/>
      </w:pPr>
      <w:r>
        <w:rPr>
          <w:rFonts w:ascii="Calibri" w:hAnsi="Calibri"/>
          <w:b w:val="0"/>
          <w:sz w:val="22"/>
        </w:rPr>
        <w:t>Die Kanzlei vertritt ausschließlich die Metallbau Hansa GmbH als Gesellschaft, nicht die Geschäftsführer persönlich. Bei Interessenkonflikt wird die Kanzlei unverzüglich informieren. Diese Notiz ist vertraulich und unterliegt dem anwaltlichen Berufsgeheimnis.</w:t>
      </w:r>
    </w:p>
    <w:p/>
    <w:p>
      <w:r>
        <w:rPr>
          <w:rFonts w:ascii="Calibri" w:hAnsi="Calibri"/>
          <w:b w:val="0"/>
          <w:color w:val="646464"/>
          <w:sz w:val="20"/>
        </w:rPr>
        <w:t>RA Dr. Karolin Westphal  |  Westphal &amp; Partner Rechtsanwälte PartGmbB  |  Hamburg, 12. Mai 2026</w:t>
      </w:r>
    </w:p>
    <w:sectPr w:rsidR="00FC693F" w:rsidRPr="0006063C" w:rsidSect="00034616">
      <w:pgSz w:w="12240" w:h="15840"/>
      <w:pgMar w:top="1417" w:right="1417" w:bottom="141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