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Calibri" w:hAnsi="Calibri"/>
          <w:b/>
          <w:color w:val="003C5A"/>
          <w:sz w:val="28"/>
        </w:rPr>
        <w:t>NORDLICHT TURNAROUND FONDS GMBH &amp; CO. KG</w:t>
      </w:r>
    </w:p>
    <w:p>
      <w:pPr>
        <w:jc w:val="center"/>
      </w:pPr>
      <w:r>
        <w:rPr>
          <w:rFonts w:ascii="Calibri" w:hAnsi="Calibri"/>
          <w:b/>
          <w:color w:val="003C5A"/>
          <w:sz w:val="28"/>
        </w:rPr>
        <w:t>INDIKATIVES TERM SHEET</w:t>
      </w:r>
    </w:p>
    <w:p>
      <w:pPr>
        <w:jc w:val="center"/>
      </w:pPr>
      <w:r>
        <w:rPr>
          <w:rFonts w:ascii="Calibri" w:hAnsi="Calibri"/>
          <w:b w:val="0"/>
          <w:color w:val="505050"/>
          <w:sz w:val="24"/>
        </w:rPr>
        <w:t>Metallbau Hansa GmbH – Restrukturierungsfinanzierung</w:t>
      </w:r>
    </w:p>
    <w:p>
      <w:pPr>
        <w:jc w:val="center"/>
      </w:pPr>
      <w:r>
        <w:rPr>
          <w:rFonts w:ascii="Calibri" w:hAnsi="Calibri"/>
          <w:b w:val="0"/>
          <w:color w:val="787878"/>
          <w:sz w:val="20"/>
        </w:rPr>
        <w:t>Version 0.3 – 26. Mai 2026 – Vertraulich</w:t>
      </w:r>
    </w:p>
    <w:p/>
    <w:p>
      <w:pPr>
        <w:spacing w:before="240" w:after="80"/>
      </w:pPr>
      <w:r>
        <w:rPr>
          <w:rFonts w:ascii="Calibri" w:hAnsi="Calibri"/>
          <w:b/>
          <w:sz w:val="28"/>
        </w:rPr>
        <w:t>Parteien</w:t>
      </w:r>
    </w:p>
    <w:tbl>
      <w:tblPr>
        <w:tblStyle w:val="TableGrid"/>
        <w:tblW w:type="auto" w:w="0"/>
        <w:tblLook w:firstColumn="1" w:firstRow="1" w:lastColumn="0" w:lastRow="0" w:noHBand="0" w:noVBand="1" w:val="04A0"/>
      </w:tblPr>
      <w:tblGrid>
        <w:gridCol w:w="4561"/>
        <w:gridCol w:w="4561"/>
      </w:tblGrid>
      <w:tr>
        <w:tc>
          <w:tcPr>
            <w:tcW w:type="dxa" w:w="4561"/>
          </w:tcPr>
          <w:p>
            <w:r>
              <w:rPr>
                <w:rFonts w:ascii="Calibri" w:hAnsi="Calibri"/>
                <w:b/>
                <w:sz w:val="20"/>
              </w:rPr>
              <w:t>Investor</w:t>
            </w:r>
          </w:p>
        </w:tc>
        <w:tc>
          <w:tcPr>
            <w:tcW w:type="dxa" w:w="4561"/>
          </w:tcPr>
          <w:p>
            <w:r>
              <w:rPr>
                <w:rFonts w:ascii="Calibri" w:hAnsi="Calibri"/>
                <w:b w:val="0"/>
                <w:sz w:val="20"/>
              </w:rPr>
              <w:t>Nordlicht Turnaround Fonds GmbH &amp; Co. KG, Kleiner Kielort 11, 20144 Hamburg</w:t>
              <w:br/>
              <w:t>vertreten durch Nordlicht Verwaltungs-GmbH, GF: Philipp Gessner</w:t>
            </w:r>
          </w:p>
        </w:tc>
      </w:tr>
      <w:tr>
        <w:tc>
          <w:tcPr>
            <w:tcW w:type="dxa" w:w="4561"/>
          </w:tcPr>
          <w:p>
            <w:r>
              <w:rPr>
                <w:rFonts w:ascii="Calibri" w:hAnsi="Calibri"/>
                <w:b/>
                <w:sz w:val="20"/>
              </w:rPr>
              <w:t>Schuldnerin</w:t>
            </w:r>
          </w:p>
        </w:tc>
        <w:tc>
          <w:tcPr>
            <w:tcW w:type="dxa" w:w="4561"/>
          </w:tcPr>
          <w:p>
            <w:r>
              <w:rPr>
                <w:rFonts w:ascii="Calibri" w:hAnsi="Calibri"/>
                <w:b w:val="0"/>
                <w:sz w:val="20"/>
              </w:rPr>
              <w:t>Metallbau Hansa GmbH, Billbrookdeich 127, 22113 Hamburg</w:t>
              <w:br/>
              <w:t>GF: Anna Reimers, Lukas Petersen</w:t>
            </w:r>
          </w:p>
        </w:tc>
      </w:tr>
    </w:tbl>
    <w:p/>
    <w:p>
      <w:pPr>
        <w:spacing w:before="240" w:after="80"/>
      </w:pPr>
      <w:r>
        <w:rPr>
          <w:rFonts w:ascii="Calibri" w:hAnsi="Calibri"/>
          <w:b/>
          <w:sz w:val="28"/>
        </w:rPr>
        <w:t>1. Transaktionsstruktur</w:t>
      </w:r>
    </w:p>
    <w:tbl>
      <w:tblPr>
        <w:tblStyle w:val="TableGrid"/>
        <w:tblW w:type="auto" w:w="0"/>
        <w:tblLook w:firstColumn="1" w:firstRow="1" w:lastColumn="0" w:lastRow="0" w:noHBand="0" w:noVBand="1" w:val="04A0"/>
      </w:tblPr>
      <w:tblGrid>
        <w:gridCol w:w="4561"/>
        <w:gridCol w:w="4561"/>
      </w:tblGrid>
      <w:tr>
        <w:tc>
          <w:tcPr>
            <w:tcW w:type="dxa" w:w="4561"/>
          </w:tcPr>
          <w:p>
            <w:r>
              <w:rPr>
                <w:rFonts w:ascii="Calibri" w:hAnsi="Calibri"/>
                <w:b/>
                <w:sz w:val="20"/>
              </w:rPr>
              <w:t>Investitionsform</w:t>
            </w:r>
          </w:p>
        </w:tc>
        <w:tc>
          <w:tcPr>
            <w:tcW w:type="dxa" w:w="4561"/>
          </w:tcPr>
          <w:p>
            <w:r>
              <w:rPr>
                <w:rFonts w:ascii="Calibri" w:hAnsi="Calibri"/>
                <w:b w:val="0"/>
                <w:sz w:val="20"/>
              </w:rPr>
              <w:t>Mezzanine-Darlehen (nachrangig ggü. NordBank AG, vorrangig ggü. Gesellschafterdarlehen)</w:t>
            </w:r>
          </w:p>
        </w:tc>
      </w:tr>
      <w:tr>
        <w:tc>
          <w:tcPr>
            <w:tcW w:type="dxa" w:w="4561"/>
          </w:tcPr>
          <w:p>
            <w:r>
              <w:rPr>
                <w:rFonts w:ascii="Calibri" w:hAnsi="Calibri"/>
                <w:b/>
                <w:sz w:val="20"/>
              </w:rPr>
              <w:t>Gesamtbetrag</w:t>
            </w:r>
          </w:p>
        </w:tc>
        <w:tc>
          <w:tcPr>
            <w:tcW w:type="dxa" w:w="4561"/>
          </w:tcPr>
          <w:p>
            <w:r>
              <w:rPr>
                <w:rFonts w:ascii="Calibri" w:hAnsi="Calibri"/>
                <w:b w:val="0"/>
                <w:sz w:val="20"/>
              </w:rPr>
              <w:t>1.400.000 Euro</w:t>
            </w:r>
          </w:p>
        </w:tc>
      </w:tr>
      <w:tr>
        <w:tc>
          <w:tcPr>
            <w:tcW w:type="dxa" w:w="4561"/>
          </w:tcPr>
          <w:p>
            <w:r>
              <w:rPr>
                <w:rFonts w:ascii="Calibri" w:hAnsi="Calibri"/>
                <w:b/>
                <w:sz w:val="20"/>
              </w:rPr>
              <w:t>Tranche 1</w:t>
            </w:r>
          </w:p>
        </w:tc>
        <w:tc>
          <w:tcPr>
            <w:tcW w:type="dxa" w:w="4561"/>
          </w:tcPr>
          <w:p>
            <w:r>
              <w:rPr>
                <w:rFonts w:ascii="Calibri" w:hAnsi="Calibri"/>
                <w:b w:val="0"/>
                <w:sz w:val="20"/>
              </w:rPr>
              <w:t>900.000 Euro bei rechtskräftiger Planannahme</w:t>
            </w:r>
          </w:p>
        </w:tc>
      </w:tr>
      <w:tr>
        <w:tc>
          <w:tcPr>
            <w:tcW w:type="dxa" w:w="4561"/>
          </w:tcPr>
          <w:p>
            <w:r>
              <w:rPr>
                <w:rFonts w:ascii="Calibri" w:hAnsi="Calibri"/>
                <w:b/>
                <w:sz w:val="20"/>
              </w:rPr>
              <w:t>Tranche 2</w:t>
            </w:r>
          </w:p>
        </w:tc>
        <w:tc>
          <w:tcPr>
            <w:tcW w:type="dxa" w:w="4561"/>
          </w:tcPr>
          <w:p>
            <w:r>
              <w:rPr>
                <w:rFonts w:ascii="Calibri" w:hAnsi="Calibri"/>
                <w:b w:val="0"/>
                <w:sz w:val="20"/>
              </w:rPr>
              <w:t>500.000 Euro nach Rechtskraft der Planbestätigung</w:t>
            </w:r>
          </w:p>
        </w:tc>
      </w:tr>
      <w:tr>
        <w:tc>
          <w:tcPr>
            <w:tcW w:type="dxa" w:w="4561"/>
          </w:tcPr>
          <w:p>
            <w:r>
              <w:rPr>
                <w:rFonts w:ascii="Calibri" w:hAnsi="Calibri"/>
                <w:b/>
                <w:sz w:val="20"/>
              </w:rPr>
              <w:t>Zweck</w:t>
            </w:r>
          </w:p>
        </w:tc>
        <w:tc>
          <w:tcPr>
            <w:tcW w:type="dxa" w:w="4561"/>
          </w:tcPr>
          <w:p>
            <w:r>
              <w:rPr>
                <w:rFonts w:ascii="Calibri" w:hAnsi="Calibri"/>
                <w:b w:val="0"/>
                <w:sz w:val="20"/>
              </w:rPr>
              <w:t>Betriebsmittelfinanzierung, Planquoten-Erstrate, Liquiditätspuffer</w:t>
            </w:r>
          </w:p>
        </w:tc>
      </w:tr>
      <w:tr>
        <w:tc>
          <w:tcPr>
            <w:tcW w:type="dxa" w:w="4561"/>
          </w:tcPr>
          <w:p>
            <w:r>
              <w:rPr>
                <w:rFonts w:ascii="Calibri" w:hAnsi="Calibri"/>
                <w:b/>
                <w:sz w:val="20"/>
              </w:rPr>
              <w:t>Laufzeit</w:t>
            </w:r>
          </w:p>
        </w:tc>
        <w:tc>
          <w:tcPr>
            <w:tcW w:type="dxa" w:w="4561"/>
          </w:tcPr>
          <w:p>
            <w:r>
              <w:rPr>
                <w:rFonts w:ascii="Calibri" w:hAnsi="Calibri"/>
                <w:b w:val="0"/>
                <w:sz w:val="20"/>
              </w:rPr>
              <w:t>48 Monate ab Auszahlung Tranche 1</w:t>
            </w:r>
          </w:p>
        </w:tc>
      </w:tr>
      <w:tr>
        <w:tc>
          <w:tcPr>
            <w:tcW w:type="dxa" w:w="4561"/>
          </w:tcPr>
          <w:p>
            <w:r>
              <w:rPr>
                <w:rFonts w:ascii="Calibri" w:hAnsi="Calibri"/>
                <w:b/>
                <w:sz w:val="20"/>
              </w:rPr>
              <w:t>Zinssatz</w:t>
            </w:r>
          </w:p>
        </w:tc>
        <w:tc>
          <w:tcPr>
            <w:tcW w:type="dxa" w:w="4561"/>
          </w:tcPr>
          <w:p>
            <w:r>
              <w:rPr>
                <w:rFonts w:ascii="Calibri" w:hAnsi="Calibri"/>
                <w:b w:val="0"/>
                <w:sz w:val="20"/>
              </w:rPr>
              <w:t>7,5 % p.a., zahlbar halbjährlich</w:t>
            </w:r>
          </w:p>
        </w:tc>
      </w:tr>
      <w:tr>
        <w:tc>
          <w:tcPr>
            <w:tcW w:type="dxa" w:w="4561"/>
          </w:tcPr>
          <w:p>
            <w:r>
              <w:rPr>
                <w:rFonts w:ascii="Calibri" w:hAnsi="Calibri"/>
                <w:b/>
                <w:sz w:val="20"/>
              </w:rPr>
              <w:t>PIK-Option</w:t>
            </w:r>
          </w:p>
        </w:tc>
        <w:tc>
          <w:tcPr>
            <w:tcW w:type="dxa" w:w="4561"/>
          </w:tcPr>
          <w:p>
            <w:r>
              <w:rPr>
                <w:rFonts w:ascii="Calibri" w:hAnsi="Calibri"/>
                <w:b w:val="0"/>
                <w:sz w:val="20"/>
              </w:rPr>
              <w:t>Zinsen Monate 1–12 können PIK gestundet werden; Aufschlag 1,5 % p.a.</w:t>
            </w:r>
          </w:p>
        </w:tc>
      </w:tr>
      <w:tr>
        <w:tc>
          <w:tcPr>
            <w:tcW w:type="dxa" w:w="4561"/>
          </w:tcPr>
          <w:p>
            <w:r>
              <w:rPr>
                <w:rFonts w:ascii="Calibri" w:hAnsi="Calibri"/>
                <w:b/>
                <w:sz w:val="20"/>
              </w:rPr>
              <w:t>Tilgung</w:t>
            </w:r>
          </w:p>
        </w:tc>
        <w:tc>
          <w:tcPr>
            <w:tcW w:type="dxa" w:w="4561"/>
          </w:tcPr>
          <w:p>
            <w:r>
              <w:rPr>
                <w:rFonts w:ascii="Calibri" w:hAnsi="Calibri"/>
                <w:b w:val="0"/>
                <w:sz w:val="20"/>
              </w:rPr>
              <w:t>Endfällig nach 48 Monaten (Bullet); vorzeitige Tilgung ab Monat 24 ohne Vorfälligkeitsentgelt</w:t>
            </w:r>
          </w:p>
        </w:tc>
      </w:tr>
    </w:tbl>
    <w:p/>
    <w:p>
      <w:pPr>
        <w:spacing w:before="240" w:after="80"/>
      </w:pPr>
      <w:r>
        <w:rPr>
          <w:rFonts w:ascii="Calibri" w:hAnsi="Calibri"/>
          <w:b/>
          <w:sz w:val="28"/>
        </w:rPr>
        <w:t>2. Sicherheiten</w:t>
      </w:r>
    </w:p>
    <w:tbl>
      <w:tblPr>
        <w:tblStyle w:val="TableGrid"/>
        <w:tblW w:type="auto" w:w="0"/>
        <w:tblLook w:firstColumn="1" w:firstRow="1" w:lastColumn="0" w:lastRow="0" w:noHBand="0" w:noVBand="1" w:val="04A0"/>
      </w:tblPr>
      <w:tblGrid>
        <w:gridCol w:w="3041"/>
        <w:gridCol w:w="3041"/>
        <w:gridCol w:w="3041"/>
      </w:tblGrid>
      <w:tr>
        <w:tc>
          <w:tcPr>
            <w:tcW w:type="dxa" w:w="3041"/>
          </w:tcPr>
          <w:p>
            <w:r>
              <w:rPr>
                <w:rFonts w:ascii="Calibri" w:hAnsi="Calibri"/>
                <w:b/>
                <w:sz w:val="20"/>
              </w:rPr>
              <w:t>Sicherheit</w:t>
            </w:r>
          </w:p>
        </w:tc>
        <w:tc>
          <w:tcPr>
            <w:tcW w:type="dxa" w:w="3041"/>
          </w:tcPr>
          <w:p>
            <w:r>
              <w:rPr>
                <w:rFonts w:ascii="Calibri" w:hAnsi="Calibri"/>
                <w:b/>
                <w:sz w:val="20"/>
              </w:rPr>
              <w:t>Art</w:t>
            </w:r>
          </w:p>
        </w:tc>
        <w:tc>
          <w:tcPr>
            <w:tcW w:type="dxa" w:w="3041"/>
          </w:tcPr>
          <w:p>
            <w:r>
              <w:rPr>
                <w:rFonts w:ascii="Calibri" w:hAnsi="Calibri"/>
                <w:b/>
                <w:sz w:val="20"/>
              </w:rPr>
              <w:t>Rang</w:t>
            </w:r>
          </w:p>
        </w:tc>
      </w:tr>
      <w:tr>
        <w:tc>
          <w:tcPr>
            <w:tcW w:type="dxa" w:w="3041"/>
          </w:tcPr>
          <w:p>
            <w:r/>
            <w:r>
              <w:rPr>
                <w:rFonts w:ascii="Calibri" w:hAnsi="Calibri"/>
                <w:sz w:val="20"/>
              </w:rPr>
              <w:t>Maschinenpark (CNC-Anlagen)</w:t>
            </w:r>
          </w:p>
        </w:tc>
        <w:tc>
          <w:tcPr>
            <w:tcW w:type="dxa" w:w="3041"/>
          </w:tcPr>
          <w:p>
            <w:r/>
            <w:r>
              <w:rPr>
                <w:rFonts w:ascii="Calibri" w:hAnsi="Calibri"/>
                <w:sz w:val="20"/>
              </w:rPr>
              <w:t>Sicherungsübereignung</w:t>
            </w:r>
          </w:p>
        </w:tc>
        <w:tc>
          <w:tcPr>
            <w:tcW w:type="dxa" w:w="3041"/>
          </w:tcPr>
          <w:p>
            <w:r/>
            <w:r>
              <w:rPr>
                <w:rFonts w:ascii="Calibri" w:hAnsi="Calibri"/>
                <w:sz w:val="20"/>
              </w:rPr>
              <w:t>2. Rang (nach NordBank AG)</w:t>
            </w:r>
          </w:p>
        </w:tc>
      </w:tr>
      <w:tr>
        <w:tc>
          <w:tcPr>
            <w:tcW w:type="dxa" w:w="3041"/>
          </w:tcPr>
          <w:p>
            <w:r/>
            <w:r>
              <w:rPr>
                <w:rFonts w:ascii="Calibri" w:hAnsi="Calibri"/>
                <w:sz w:val="20"/>
              </w:rPr>
              <w:t>Stadtwerke-Nord-Forderungen</w:t>
            </w:r>
          </w:p>
        </w:tc>
        <w:tc>
          <w:tcPr>
            <w:tcW w:type="dxa" w:w="3041"/>
          </w:tcPr>
          <w:p>
            <w:r/>
            <w:r>
              <w:rPr>
                <w:rFonts w:ascii="Calibri" w:hAnsi="Calibri"/>
                <w:sz w:val="20"/>
              </w:rPr>
              <w:t>Stille Zession</w:t>
            </w:r>
          </w:p>
        </w:tc>
        <w:tc>
          <w:tcPr>
            <w:tcW w:type="dxa" w:w="3041"/>
          </w:tcPr>
          <w:p>
            <w:r/>
            <w:r>
              <w:rPr>
                <w:rFonts w:ascii="Calibri" w:hAnsi="Calibri"/>
                <w:sz w:val="20"/>
              </w:rPr>
              <w:t>1. Rang (nach Globalzessionsfreistellung)</w:t>
            </w:r>
          </w:p>
        </w:tc>
      </w:tr>
      <w:tr>
        <w:tc>
          <w:tcPr>
            <w:tcW w:type="dxa" w:w="3041"/>
          </w:tcPr>
          <w:p>
            <w:r/>
            <w:r>
              <w:rPr>
                <w:rFonts w:ascii="Calibri" w:hAnsi="Calibri"/>
                <w:sz w:val="20"/>
              </w:rPr>
              <w:t>GmbH-Anteile Metallbau Hansa</w:t>
            </w:r>
          </w:p>
        </w:tc>
        <w:tc>
          <w:tcPr>
            <w:tcW w:type="dxa" w:w="3041"/>
          </w:tcPr>
          <w:p>
            <w:r/>
            <w:r>
              <w:rPr>
                <w:rFonts w:ascii="Calibri" w:hAnsi="Calibri"/>
                <w:sz w:val="20"/>
              </w:rPr>
              <w:t>Pfandrecht</w:t>
            </w:r>
          </w:p>
        </w:tc>
        <w:tc>
          <w:tcPr>
            <w:tcW w:type="dxa" w:w="3041"/>
          </w:tcPr>
          <w:p>
            <w:r/>
            <w:r>
              <w:rPr>
                <w:rFonts w:ascii="Calibri" w:hAnsi="Calibri"/>
                <w:sz w:val="20"/>
              </w:rPr>
              <w:t>1. Rang</w:t>
            </w:r>
          </w:p>
        </w:tc>
      </w:tr>
      <w:tr>
        <w:tc>
          <w:tcPr>
            <w:tcW w:type="dxa" w:w="3041"/>
          </w:tcPr>
          <w:p>
            <w:r/>
            <w:r>
              <w:rPr>
                <w:rFonts w:ascii="Calibri" w:hAnsi="Calibri"/>
                <w:sz w:val="20"/>
              </w:rPr>
              <w:t>Bürgschaft Maria Rönsberg</w:t>
            </w:r>
          </w:p>
        </w:tc>
        <w:tc>
          <w:tcPr>
            <w:tcW w:type="dxa" w:w="3041"/>
          </w:tcPr>
          <w:p>
            <w:r/>
            <w:r>
              <w:rPr>
                <w:rFonts w:ascii="Calibri" w:hAnsi="Calibri"/>
                <w:sz w:val="20"/>
              </w:rPr>
              <w:t>Bürgschaft § 765 BGB</w:t>
            </w:r>
          </w:p>
        </w:tc>
        <w:tc>
          <w:tcPr>
            <w:tcW w:type="dxa" w:w="3041"/>
          </w:tcPr>
          <w:p>
            <w:r/>
            <w:r>
              <w:rPr>
                <w:rFonts w:ascii="Calibri" w:hAnsi="Calibri"/>
                <w:sz w:val="20"/>
              </w:rPr>
              <w:t>unbeschränkt bis 700.000 €</w:t>
            </w:r>
          </w:p>
        </w:tc>
      </w:tr>
    </w:tbl>
    <w:p/>
    <w:p>
      <w:pPr>
        <w:spacing w:before="240" w:after="80"/>
      </w:pPr>
      <w:r>
        <w:rPr>
          <w:rFonts w:ascii="Calibri" w:hAnsi="Calibri"/>
          <w:b/>
          <w:sz w:val="28"/>
        </w:rPr>
        <w:t>3. Covenants (halbjährlich gemessen)</w:t>
      </w:r>
    </w:p>
    <w:tbl>
      <w:tblPr>
        <w:tblStyle w:val="TableGrid"/>
        <w:tblW w:type="auto" w:w="0"/>
        <w:tblLook w:firstColumn="1" w:firstRow="1" w:lastColumn="0" w:lastRow="0" w:noHBand="0" w:noVBand="1" w:val="04A0"/>
      </w:tblPr>
      <w:tblGrid>
        <w:gridCol w:w="4561"/>
        <w:gridCol w:w="4561"/>
      </w:tblGrid>
      <w:tr>
        <w:tc>
          <w:tcPr>
            <w:tcW w:type="dxa" w:w="4561"/>
          </w:tcPr>
          <w:p>
            <w:r>
              <w:rPr>
                <w:rFonts w:ascii="Calibri" w:hAnsi="Calibri"/>
                <w:b/>
                <w:sz w:val="20"/>
              </w:rPr>
              <w:t>Kennzahl</w:t>
            </w:r>
          </w:p>
        </w:tc>
        <w:tc>
          <w:tcPr>
            <w:tcW w:type="dxa" w:w="4561"/>
          </w:tcPr>
          <w:p>
            <w:r>
              <w:rPr>
                <w:rFonts w:ascii="Calibri" w:hAnsi="Calibri"/>
                <w:b/>
                <w:sz w:val="20"/>
              </w:rPr>
              <w:t>Grenzwert</w:t>
            </w:r>
          </w:p>
        </w:tc>
      </w:tr>
      <w:tr>
        <w:tc>
          <w:tcPr>
            <w:tcW w:type="dxa" w:w="4561"/>
          </w:tcPr>
          <w:p>
            <w:r/>
            <w:r>
              <w:rPr>
                <w:rFonts w:ascii="Calibri" w:hAnsi="Calibri"/>
                <w:sz w:val="20"/>
              </w:rPr>
              <w:t>Nettoverschuldung / EBITDA</w:t>
            </w:r>
          </w:p>
        </w:tc>
        <w:tc>
          <w:tcPr>
            <w:tcW w:type="dxa" w:w="4561"/>
          </w:tcPr>
          <w:p>
            <w:r/>
            <w:r>
              <w:rPr>
                <w:rFonts w:ascii="Calibri" w:hAnsi="Calibri"/>
                <w:sz w:val="20"/>
              </w:rPr>
              <w:t>≤ 4,5x</w:t>
            </w:r>
          </w:p>
        </w:tc>
      </w:tr>
      <w:tr>
        <w:tc>
          <w:tcPr>
            <w:tcW w:type="dxa" w:w="4561"/>
          </w:tcPr>
          <w:p>
            <w:r/>
            <w:r>
              <w:rPr>
                <w:rFonts w:ascii="Calibri" w:hAnsi="Calibri"/>
                <w:sz w:val="20"/>
              </w:rPr>
              <w:t>Mindestliquidität (Kasse + freie Kreditlinie)</w:t>
            </w:r>
          </w:p>
        </w:tc>
        <w:tc>
          <w:tcPr>
            <w:tcW w:type="dxa" w:w="4561"/>
          </w:tcPr>
          <w:p>
            <w:r/>
            <w:r>
              <w:rPr>
                <w:rFonts w:ascii="Calibri" w:hAnsi="Calibri"/>
                <w:sz w:val="20"/>
              </w:rPr>
              <w:t>≥ 150.000 €</w:t>
            </w:r>
          </w:p>
        </w:tc>
      </w:tr>
      <w:tr>
        <w:tc>
          <w:tcPr>
            <w:tcW w:type="dxa" w:w="4561"/>
          </w:tcPr>
          <w:p>
            <w:r/>
            <w:r>
              <w:rPr>
                <w:rFonts w:ascii="Calibri" w:hAnsi="Calibri"/>
                <w:sz w:val="20"/>
              </w:rPr>
              <w:t>Eigenkapitalquote</w:t>
            </w:r>
          </w:p>
        </w:tc>
        <w:tc>
          <w:tcPr>
            <w:tcW w:type="dxa" w:w="4561"/>
          </w:tcPr>
          <w:p>
            <w:r/>
            <w:r>
              <w:rPr>
                <w:rFonts w:ascii="Calibri" w:hAnsi="Calibri"/>
                <w:sz w:val="20"/>
              </w:rPr>
              <w:t>≥ 8 %</w:t>
            </w:r>
          </w:p>
        </w:tc>
      </w:tr>
      <w:tr>
        <w:tc>
          <w:tcPr>
            <w:tcW w:type="dxa" w:w="4561"/>
          </w:tcPr>
          <w:p>
            <w:r/>
            <w:r>
              <w:rPr>
                <w:rFonts w:ascii="Calibri" w:hAnsi="Calibri"/>
                <w:sz w:val="20"/>
              </w:rPr>
              <w:t>Debitorenlaufzeit</w:t>
            </w:r>
          </w:p>
        </w:tc>
        <w:tc>
          <w:tcPr>
            <w:tcW w:type="dxa" w:w="4561"/>
          </w:tcPr>
          <w:p>
            <w:r/>
            <w:r>
              <w:rPr>
                <w:rFonts w:ascii="Calibri" w:hAnsi="Calibri"/>
                <w:sz w:val="20"/>
              </w:rPr>
              <w:t>≤ 60 Tage</w:t>
            </w:r>
          </w:p>
        </w:tc>
      </w:tr>
    </w:tbl>
    <w:p/>
    <w:p>
      <w:pPr>
        <w:spacing w:before="240" w:after="80"/>
      </w:pPr>
      <w:r>
        <w:rPr>
          <w:rFonts w:ascii="Calibri" w:hAnsi="Calibri"/>
          <w:b/>
          <w:sz w:val="28"/>
        </w:rPr>
        <w:t>4. Informationspflichten</w:t>
      </w:r>
    </w:p>
    <w:p>
      <w:pPr>
        <w:pStyle w:val="ListBullet"/>
      </w:pPr>
      <w:r>
        <w:rPr>
          <w:rFonts w:ascii="Calibri" w:hAnsi="Calibri"/>
          <w:b w:val="0"/>
          <w:sz w:val="22"/>
        </w:rPr>
        <w:t>Monatlicher Flash-Bericht (Umsatz, EBITDA, Liquidität) bis 15. des Folgemonats</w:t>
      </w:r>
    </w:p>
    <w:p>
      <w:pPr>
        <w:pStyle w:val="ListBullet"/>
      </w:pPr>
      <w:r>
        <w:rPr>
          <w:rFonts w:ascii="Calibri" w:hAnsi="Calibri"/>
          <w:b w:val="0"/>
          <w:sz w:val="22"/>
        </w:rPr>
        <w:t>Quartalsabschlüsse (BWA + SuSa) bis Ende des Folgemonats</w:t>
      </w:r>
    </w:p>
    <w:p>
      <w:pPr>
        <w:pStyle w:val="ListBullet"/>
      </w:pPr>
      <w:r>
        <w:rPr>
          <w:rFonts w:ascii="Calibri" w:hAnsi="Calibri"/>
          <w:b w:val="0"/>
          <w:sz w:val="22"/>
        </w:rPr>
        <w:t>Jahresabschluss geprüft bis 30. Juni des Folgejahres</w:t>
      </w:r>
    </w:p>
    <w:p>
      <w:pPr>
        <w:pStyle w:val="ListBullet"/>
      </w:pPr>
      <w:r>
        <w:rPr>
          <w:rFonts w:ascii="Calibri" w:hAnsi="Calibri"/>
          <w:b w:val="0"/>
          <w:sz w:val="22"/>
        </w:rPr>
        <w:t>Sofortige Information bei Zahlungsverzug &gt; 50.000 Euro oder Vollstreckungsmaßnahmen</w:t>
      </w:r>
    </w:p>
    <w:p>
      <w:pPr>
        <w:pStyle w:val="ListBullet"/>
      </w:pPr>
      <w:r>
        <w:rPr>
          <w:rFonts w:ascii="Calibri" w:hAnsi="Calibri"/>
          <w:b w:val="0"/>
          <w:sz w:val="22"/>
        </w:rPr>
        <w:t>Zustimmungsvorbehalt bei Investitionen &gt; 200.000 Euro, Neuschulden &gt; 100.000 Euro</w:t>
      </w:r>
    </w:p>
    <w:p>
      <w:pPr>
        <w:spacing w:before="240" w:after="80"/>
      </w:pPr>
      <w:r>
        <w:rPr>
          <w:rFonts w:ascii="Calibri" w:hAnsi="Calibri"/>
          <w:b/>
          <w:sz w:val="28"/>
        </w:rPr>
        <w:t>5. Gebühren</w:t>
      </w:r>
    </w:p>
    <w:tbl>
      <w:tblPr>
        <w:tblStyle w:val="TableGrid"/>
        <w:tblW w:type="auto" w:w="0"/>
        <w:tblLook w:firstColumn="1" w:firstRow="1" w:lastColumn="0" w:lastRow="0" w:noHBand="0" w:noVBand="1" w:val="04A0"/>
      </w:tblPr>
      <w:tblGrid>
        <w:gridCol w:w="4561"/>
        <w:gridCol w:w="4561"/>
      </w:tblGrid>
      <w:tr>
        <w:tc>
          <w:tcPr>
            <w:tcW w:type="dxa" w:w="4561"/>
          </w:tcPr>
          <w:p>
            <w:r>
              <w:rPr>
                <w:rFonts w:ascii="Calibri" w:hAnsi="Calibri"/>
                <w:b/>
                <w:sz w:val="20"/>
              </w:rPr>
              <w:t>Position</w:t>
            </w:r>
          </w:p>
        </w:tc>
        <w:tc>
          <w:tcPr>
            <w:tcW w:type="dxa" w:w="4561"/>
          </w:tcPr>
          <w:p>
            <w:r>
              <w:rPr>
                <w:rFonts w:ascii="Calibri" w:hAnsi="Calibri"/>
                <w:b/>
                <w:sz w:val="20"/>
              </w:rPr>
              <w:t>Betrag</w:t>
            </w:r>
          </w:p>
        </w:tc>
      </w:tr>
      <w:tr>
        <w:tc>
          <w:tcPr>
            <w:tcW w:type="dxa" w:w="4561"/>
          </w:tcPr>
          <w:p>
            <w:r/>
            <w:r>
              <w:rPr>
                <w:rFonts w:ascii="Calibri" w:hAnsi="Calibri"/>
                <w:sz w:val="20"/>
              </w:rPr>
              <w:t>Strukturierungsgebühr</w:t>
            </w:r>
          </w:p>
        </w:tc>
        <w:tc>
          <w:tcPr>
            <w:tcW w:type="dxa" w:w="4561"/>
          </w:tcPr>
          <w:p>
            <w:r/>
            <w:r>
              <w:rPr>
                <w:rFonts w:ascii="Calibri" w:hAnsi="Calibri"/>
                <w:sz w:val="20"/>
              </w:rPr>
              <w:t>35.000 € (fällig bei Auszahlung Tranche 1)</w:t>
            </w:r>
          </w:p>
        </w:tc>
      </w:tr>
      <w:tr>
        <w:tc>
          <w:tcPr>
            <w:tcW w:type="dxa" w:w="4561"/>
          </w:tcPr>
          <w:p>
            <w:r/>
            <w:r>
              <w:rPr>
                <w:rFonts w:ascii="Calibri" w:hAnsi="Calibri"/>
                <w:sz w:val="20"/>
              </w:rPr>
              <w:t>Due-Diligence-Kosten</w:t>
            </w:r>
          </w:p>
        </w:tc>
        <w:tc>
          <w:tcPr>
            <w:tcW w:type="dxa" w:w="4561"/>
          </w:tcPr>
          <w:p>
            <w:r/>
            <w:r>
              <w:rPr>
                <w:rFonts w:ascii="Calibri" w:hAnsi="Calibri"/>
                <w:sz w:val="20"/>
              </w:rPr>
              <w:t>15.000–25.000 € (zu Lasten der Schuldnerin)</w:t>
            </w:r>
          </w:p>
        </w:tc>
      </w:tr>
      <w:tr>
        <w:tc>
          <w:tcPr>
            <w:tcW w:type="dxa" w:w="4561"/>
          </w:tcPr>
          <w:p>
            <w:r/>
            <w:r>
              <w:rPr>
                <w:rFonts w:ascii="Calibri" w:hAnsi="Calibri"/>
                <w:sz w:val="20"/>
              </w:rPr>
              <w:t>Anwaltskosten Investor</w:t>
            </w:r>
          </w:p>
        </w:tc>
        <w:tc>
          <w:tcPr>
            <w:tcW w:type="dxa" w:w="4561"/>
          </w:tcPr>
          <w:p>
            <w:r/>
            <w:r>
              <w:rPr>
                <w:rFonts w:ascii="Calibri" w:hAnsi="Calibri"/>
                <w:sz w:val="20"/>
              </w:rPr>
              <w:t>20.000–30.000 € (zu Lasten der Schuldnerin)</w:t>
            </w:r>
          </w:p>
        </w:tc>
      </w:tr>
      <w:tr>
        <w:tc>
          <w:tcPr>
            <w:tcW w:type="dxa" w:w="4561"/>
          </w:tcPr>
          <w:p>
            <w:r/>
            <w:r>
              <w:rPr>
                <w:rFonts w:ascii="Calibri" w:hAnsi="Calibri"/>
                <w:sz w:val="20"/>
              </w:rPr>
              <w:t>Monitoring-Fee</w:t>
            </w:r>
          </w:p>
        </w:tc>
        <w:tc>
          <w:tcPr>
            <w:tcW w:type="dxa" w:w="4561"/>
          </w:tcPr>
          <w:p>
            <w:r/>
            <w:r>
              <w:rPr>
                <w:rFonts w:ascii="Calibri" w:hAnsi="Calibri"/>
                <w:sz w:val="20"/>
              </w:rPr>
              <w:t>2.000 €/Quartal ab Auszahlung Tranche 1</w:t>
            </w:r>
          </w:p>
        </w:tc>
      </w:tr>
    </w:tbl>
    <w:p/>
    <w:p>
      <w:pPr>
        <w:spacing w:before="240" w:after="80"/>
      </w:pPr>
      <w:r>
        <w:rPr>
          <w:rFonts w:ascii="Calibri" w:hAnsi="Calibri"/>
          <w:b/>
          <w:sz w:val="28"/>
        </w:rPr>
        <w:t>6. Rechtliches und Vertraulichkeit</w:t>
      </w:r>
    </w:p>
    <w:p>
      <w:pPr>
        <w:spacing w:after="80"/>
      </w:pPr>
      <w:r>
        <w:rPr>
          <w:rFonts w:ascii="Calibri" w:hAnsi="Calibri"/>
          <w:b w:val="0"/>
          <w:sz w:val="22"/>
        </w:rPr>
        <w:t>Dieses Term Sheet unterliegt deutschem Recht. Es ist nicht rechtsverbindlich und begründet weder eine Verpflichtung zur Investition noch einen Anspruch der Schuldnerin auf Abschluss einer Transaktion. Die Parteien vereinbaren bis 30. Juni 2026 gegenseitige Vertraulichkeit. Die Schuldnerin führt bis 30. Juni 2026 keine parallelen Verhandlungen mit anderen Investoren ohne vorherige Information des Investors.</w:t>
      </w:r>
    </w:p>
    <w:p/>
    <w:p>
      <w:r>
        <w:rPr>
          <w:rFonts w:ascii="Calibri" w:hAnsi="Calibri"/>
          <w:b w:val="0"/>
          <w:sz w:val="20"/>
        </w:rPr>
        <w:t>Nordlicht Verwaltungs-GmbH</w:t>
        <w:br/>
        <w:t>Philipp Gessner (GF)</w:t>
        <w:br/>
        <w:t>Kleiner Kielort 11, 20144 Hamburg</w:t>
        <w:br/>
        <w:br/>
        <w:br/>
        <w:t>______________________________</w:t>
        <w:br/>
        <w:t>Unterschrift / Datum</w:t>
      </w:r>
    </w:p>
    <w:sectPr w:rsidR="00FC693F" w:rsidRPr="0006063C" w:rsidSect="00034616">
      <w:pgSz w:w="12240" w:h="15840"/>
      <w:pgMar w:top="1417" w:right="1417"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