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pPr>
      <w:r>
        <w:rPr>
          <w:rFonts w:ascii="Calibri" w:hAnsi="Calibri"/>
          <w:sz w:val="22"/>
        </w:rPr>
        <w:t>Magdeburg, 20. Januar 2027</w:t>
      </w:r>
    </w:p>
    <w:p/>
    <w:p>
      <w:r>
        <w:rPr>
          <w:rFonts w:ascii="Calibri" w:hAnsi="Calibri"/>
          <w:b/>
          <w:sz w:val="20"/>
        </w:rPr>
        <w:t>Dr. Nora Westphal</w:t>
      </w:r>
    </w:p>
    <w:p>
      <w:r>
        <w:rPr>
          <w:rFonts w:ascii="Calibri" w:hAnsi="Calibri"/>
          <w:sz w:val="20"/>
        </w:rPr>
        <w:t>Rechtsanwältin | Insolvenzverwalterin</w:t>
      </w:r>
    </w:p>
    <w:p>
      <w:r>
        <w:rPr>
          <w:rFonts w:ascii="Calibri" w:hAnsi="Calibri"/>
          <w:sz w:val="20"/>
        </w:rPr>
        <w:t>Kurfürstenallee 88, 39104 Magdeburg</w:t>
      </w:r>
    </w:p>
    <w:p/>
    <w:p>
      <w:pPr>
        <w:jc w:val="both"/>
      </w:pPr>
      <w:r>
        <w:rPr>
          <w:rFonts w:ascii="Calibri" w:hAnsi="Calibri"/>
          <w:b w:val="0"/>
          <w:sz w:val="22"/>
        </w:rPr>
        <w:t>An das</w:t>
      </w:r>
    </w:p>
    <w:p>
      <w:pPr>
        <w:jc w:val="both"/>
      </w:pPr>
      <w:r>
        <w:rPr>
          <w:rFonts w:ascii="Calibri" w:hAnsi="Calibri"/>
          <w:b/>
          <w:sz w:val="22"/>
        </w:rPr>
        <w:t>Amtsgericht Stendal – Insolvenzgericht –</w:t>
      </w:r>
    </w:p>
    <w:p>
      <w:pPr>
        <w:jc w:val="both"/>
      </w:pPr>
      <w:r>
        <w:rPr>
          <w:rFonts w:ascii="Calibri" w:hAnsi="Calibri"/>
          <w:b w:val="0"/>
          <w:sz w:val="22"/>
        </w:rPr>
        <w:t>39576 Stendal</w:t>
      </w:r>
    </w:p>
    <w:p/>
    <w:p>
      <w:pPr>
        <w:jc w:val="left"/>
      </w:pPr>
      <w:r>
        <w:rPr>
          <w:rFonts w:ascii="Calibri" w:hAnsi="Calibri"/>
          <w:b/>
          <w:sz w:val="30"/>
        </w:rPr>
        <w:t>SCHLUSSBERICHT – Az. 7 IN 41/26</w:t>
      </w:r>
    </w:p>
    <w:p>
      <w:pPr>
        <w:jc w:val="left"/>
      </w:pPr>
      <w:r>
        <w:rPr>
          <w:rFonts w:ascii="Calibri" w:hAnsi="Calibri"/>
          <w:b/>
          <w:sz w:val="24"/>
        </w:rPr>
        <w:t>Insolvenzverfahren über das Vermögen der Möbelwerk Havelberg GmbH</w:t>
      </w:r>
    </w:p>
    <w:p/>
    <w:p>
      <w:pPr>
        <w:jc w:val="left"/>
      </w:pPr>
      <w:r>
        <w:rPr>
          <w:rFonts w:ascii="Calibri" w:hAnsi="Calibri"/>
          <w:b/>
          <w:sz w:val="24"/>
        </w:rPr>
        <w:t>I. Verfahrenseckdaten</w:t>
      </w:r>
    </w:p>
    <w:tbl>
      <w:tblPr>
        <w:tblStyle w:val="TableGrid"/>
        <w:tblW w:type="auto" w:w="0"/>
        <w:tblLook w:firstColumn="1" w:firstRow="1" w:lastColumn="0" w:lastRow="0" w:noHBand="0" w:noVBand="1" w:val="04A0"/>
      </w:tblPr>
      <w:tblGrid>
        <w:gridCol w:w="4394"/>
        <w:gridCol w:w="4394"/>
      </w:tblGrid>
      <w:tr>
        <w:tc>
          <w:tcPr>
            <w:tcW w:type="dxa" w:w="4394"/>
          </w:tcPr>
          <w:p>
            <w:r>
              <w:rPr>
                <w:rFonts w:ascii="Calibri" w:hAnsi="Calibri"/>
                <w:b/>
                <w:sz w:val="20"/>
              </w:rPr>
              <w:t>Schuldnerin</w:t>
            </w:r>
          </w:p>
        </w:tc>
        <w:tc>
          <w:tcPr>
            <w:tcW w:type="dxa" w:w="4394"/>
          </w:tcPr>
          <w:p>
            <w:r>
              <w:rPr>
                <w:rFonts w:ascii="Calibri" w:hAnsi="Calibri"/>
                <w:sz w:val="20"/>
              </w:rPr>
              <w:t>Möbelwerk Havelberg GmbH, Werftstraße 14, 39539 Havelberg</w:t>
            </w:r>
          </w:p>
        </w:tc>
      </w:tr>
      <w:tr>
        <w:tc>
          <w:tcPr>
            <w:tcW w:type="dxa" w:w="4394"/>
          </w:tcPr>
          <w:p>
            <w:r>
              <w:rPr>
                <w:rFonts w:ascii="Calibri" w:hAnsi="Calibri"/>
                <w:b/>
                <w:sz w:val="20"/>
              </w:rPr>
              <w:t>Aktenzeichen</w:t>
            </w:r>
          </w:p>
        </w:tc>
        <w:tc>
          <w:tcPr>
            <w:tcW w:type="dxa" w:w="4394"/>
          </w:tcPr>
          <w:p>
            <w:r>
              <w:rPr>
                <w:rFonts w:ascii="Calibri" w:hAnsi="Calibri"/>
                <w:sz w:val="20"/>
              </w:rPr>
              <w:t>7 IN 41/26</w:t>
            </w:r>
          </w:p>
        </w:tc>
      </w:tr>
      <w:tr>
        <w:tc>
          <w:tcPr>
            <w:tcW w:type="dxa" w:w="4394"/>
          </w:tcPr>
          <w:p>
            <w:r>
              <w:rPr>
                <w:rFonts w:ascii="Calibri" w:hAnsi="Calibri"/>
                <w:b/>
                <w:sz w:val="20"/>
              </w:rPr>
              <w:t>Eröffnungsdatum</w:t>
            </w:r>
          </w:p>
        </w:tc>
        <w:tc>
          <w:tcPr>
            <w:tcW w:type="dxa" w:w="4394"/>
          </w:tcPr>
          <w:p>
            <w:r>
              <w:rPr>
                <w:rFonts w:ascii="Calibri" w:hAnsi="Calibri"/>
                <w:sz w:val="20"/>
              </w:rPr>
              <w:t>12.06.2026</w:t>
            </w:r>
          </w:p>
        </w:tc>
      </w:tr>
      <w:tr>
        <w:tc>
          <w:tcPr>
            <w:tcW w:type="dxa" w:w="4394"/>
          </w:tcPr>
          <w:p>
            <w:r>
              <w:rPr>
                <w:rFonts w:ascii="Calibri" w:hAnsi="Calibri"/>
                <w:b/>
                <w:sz w:val="20"/>
              </w:rPr>
              <w:t>Insolvenzverwalterin</w:t>
            </w:r>
          </w:p>
        </w:tc>
        <w:tc>
          <w:tcPr>
            <w:tcW w:type="dxa" w:w="4394"/>
          </w:tcPr>
          <w:p>
            <w:r>
              <w:rPr>
                <w:rFonts w:ascii="Calibri" w:hAnsi="Calibri"/>
                <w:sz w:val="20"/>
              </w:rPr>
              <w:t>Dr. Nora Westphal, Magdeburg</w:t>
            </w:r>
          </w:p>
        </w:tc>
      </w:tr>
      <w:tr>
        <w:tc>
          <w:tcPr>
            <w:tcW w:type="dxa" w:w="4394"/>
          </w:tcPr>
          <w:p>
            <w:r>
              <w:rPr>
                <w:rFonts w:ascii="Calibri" w:hAnsi="Calibri"/>
                <w:b/>
                <w:sz w:val="20"/>
              </w:rPr>
              <w:t>Eröffnungsgrund</w:t>
            </w:r>
          </w:p>
        </w:tc>
        <w:tc>
          <w:tcPr>
            <w:tcW w:type="dxa" w:w="4394"/>
          </w:tcPr>
          <w:p>
            <w:r>
              <w:rPr>
                <w:rFonts w:ascii="Calibri" w:hAnsi="Calibri"/>
                <w:sz w:val="20"/>
              </w:rPr>
              <w:t>Zahlungsunfähigkeit (§ 17 InsO)</w:t>
            </w:r>
          </w:p>
        </w:tc>
      </w:tr>
      <w:tr>
        <w:tc>
          <w:tcPr>
            <w:tcW w:type="dxa" w:w="4394"/>
          </w:tcPr>
          <w:p>
            <w:r>
              <w:rPr>
                <w:rFonts w:ascii="Calibri" w:hAnsi="Calibri"/>
                <w:b/>
                <w:sz w:val="20"/>
              </w:rPr>
              <w:t>Prüfungstermin</w:t>
            </w:r>
          </w:p>
        </w:tc>
        <w:tc>
          <w:tcPr>
            <w:tcW w:type="dxa" w:w="4394"/>
          </w:tcPr>
          <w:p>
            <w:r>
              <w:rPr>
                <w:rFonts w:ascii="Calibri" w:hAnsi="Calibri"/>
                <w:sz w:val="20"/>
              </w:rPr>
              <w:t>14.09.2026</w:t>
            </w:r>
          </w:p>
        </w:tc>
      </w:tr>
      <w:tr>
        <w:tc>
          <w:tcPr>
            <w:tcW w:type="dxa" w:w="4394"/>
          </w:tcPr>
          <w:p>
            <w:r>
              <w:rPr>
                <w:rFonts w:ascii="Calibri" w:hAnsi="Calibri"/>
                <w:b/>
                <w:sz w:val="20"/>
              </w:rPr>
              <w:t>Schlusstermin (beantragt)</w:t>
            </w:r>
          </w:p>
        </w:tc>
        <w:tc>
          <w:tcPr>
            <w:tcW w:type="dxa" w:w="4394"/>
          </w:tcPr>
          <w:p>
            <w:r>
              <w:rPr>
                <w:rFonts w:ascii="Calibri" w:hAnsi="Calibri"/>
                <w:sz w:val="20"/>
              </w:rPr>
              <w:t>15.02.2027</w:t>
            </w:r>
          </w:p>
        </w:tc>
      </w:tr>
      <w:tr>
        <w:tc>
          <w:tcPr>
            <w:tcW w:type="dxa" w:w="4394"/>
          </w:tcPr>
          <w:p>
            <w:r>
              <w:rPr>
                <w:rFonts w:ascii="Calibri" w:hAnsi="Calibri"/>
                <w:b/>
                <w:sz w:val="20"/>
              </w:rPr>
              <w:t>Verfahrensdauer</w:t>
            </w:r>
          </w:p>
        </w:tc>
        <w:tc>
          <w:tcPr>
            <w:tcW w:type="dxa" w:w="4394"/>
          </w:tcPr>
          <w:p>
            <w:r>
              <w:rPr>
                <w:rFonts w:ascii="Calibri" w:hAnsi="Calibri"/>
                <w:sz w:val="20"/>
              </w:rPr>
              <w:t>ca. 8,5 Monate</w:t>
            </w:r>
          </w:p>
        </w:tc>
      </w:tr>
    </w:tbl>
    <w:p/>
    <w:p>
      <w:pPr>
        <w:jc w:val="left"/>
      </w:pPr>
      <w:r>
        <w:rPr>
          <w:rFonts w:ascii="Calibri" w:hAnsi="Calibri"/>
          <w:b/>
          <w:sz w:val="24"/>
        </w:rPr>
        <w:t>II. Schlussrechnung</w:t>
      </w:r>
    </w:p>
    <w:p>
      <w:pPr>
        <w:jc w:val="both"/>
      </w:pPr>
      <w:r>
        <w:rPr>
          <w:rFonts w:ascii="Calibri" w:hAnsi="Calibri"/>
          <w:b/>
          <w:sz w:val="22"/>
        </w:rPr>
        <w:t>Einnahmen:</w:t>
      </w:r>
    </w:p>
    <w:tbl>
      <w:tblPr>
        <w:tblStyle w:val="TableGrid"/>
        <w:tblW w:type="auto" w:w="0"/>
        <w:tblLook w:firstColumn="1" w:firstRow="1" w:lastColumn="0" w:lastRow="0" w:noHBand="0" w:noVBand="1" w:val="04A0"/>
      </w:tblPr>
      <w:tblGrid>
        <w:gridCol w:w="4394"/>
        <w:gridCol w:w="4394"/>
      </w:tblGrid>
      <w:tr>
        <w:tc>
          <w:tcPr>
            <w:tcW w:type="dxa" w:w="4394"/>
            <w:shd w:val="clear" w:color="auto" w:fill="2E75B6"/>
          </w:tcPr>
          <w:p>
            <w:r>
              <w:rPr>
                <w:rFonts w:ascii="Calibri" w:hAnsi="Calibri"/>
                <w:b/>
                <w:color w:val="FFFFFF"/>
                <w:sz w:val="20"/>
              </w:rPr>
              <w:t>Position</w:t>
            </w:r>
          </w:p>
        </w:tc>
        <w:tc>
          <w:tcPr>
            <w:tcW w:type="dxa" w:w="4394"/>
            <w:shd w:val="clear" w:color="auto" w:fill="2E75B6"/>
          </w:tcPr>
          <w:p>
            <w:r>
              <w:rPr>
                <w:rFonts w:ascii="Calibri" w:hAnsi="Calibri"/>
                <w:b/>
                <w:color w:val="FFFFFF"/>
                <w:sz w:val="20"/>
              </w:rPr>
              <w:t>Betrag (EUR)</w:t>
            </w:r>
          </w:p>
        </w:tc>
      </w:tr>
      <w:tr>
        <w:tc>
          <w:tcPr>
            <w:tcW w:type="dxa" w:w="4394"/>
          </w:tcPr>
          <w:p>
            <w:r>
              <w:rPr>
                <w:rFonts w:ascii="Calibri" w:hAnsi="Calibri"/>
                <w:sz w:val="20"/>
              </w:rPr>
              <w:t>Bankguthaben bei Eröffnung</w:t>
            </w:r>
          </w:p>
        </w:tc>
        <w:tc>
          <w:tcPr>
            <w:tcW w:type="dxa" w:w="4394"/>
          </w:tcPr>
          <w:p>
            <w:r>
              <w:rPr>
                <w:rFonts w:ascii="Calibri" w:hAnsi="Calibri"/>
                <w:sz w:val="20"/>
              </w:rPr>
              <w:t>20.890,00</w:t>
            </w:r>
          </w:p>
        </w:tc>
      </w:tr>
      <w:tr>
        <w:tc>
          <w:tcPr>
            <w:tcW w:type="dxa" w:w="4394"/>
          </w:tcPr>
          <w:p>
            <w:r>
              <w:rPr>
                <w:rFonts w:ascii="Calibri" w:hAnsi="Calibri"/>
                <w:sz w:val="20"/>
              </w:rPr>
              <w:t>Barkasse</w:t>
            </w:r>
          </w:p>
        </w:tc>
        <w:tc>
          <w:tcPr>
            <w:tcW w:type="dxa" w:w="4394"/>
          </w:tcPr>
          <w:p>
            <w:r>
              <w:rPr>
                <w:rFonts w:ascii="Calibri" w:hAnsi="Calibri"/>
                <w:sz w:val="20"/>
              </w:rPr>
              <w:t>1.240,00</w:t>
            </w:r>
          </w:p>
        </w:tc>
      </w:tr>
      <w:tr>
        <w:tc>
          <w:tcPr>
            <w:tcW w:type="dxa" w:w="4394"/>
          </w:tcPr>
          <w:p>
            <w:r>
              <w:rPr>
                <w:rFonts w:ascii="Calibri" w:hAnsi="Calibri"/>
                <w:sz w:val="20"/>
              </w:rPr>
              <w:t>Fortführungserlöse netto</w:t>
            </w:r>
          </w:p>
        </w:tc>
        <w:tc>
          <w:tcPr>
            <w:tcW w:type="dxa" w:w="4394"/>
          </w:tcPr>
          <w:p>
            <w:r>
              <w:rPr>
                <w:rFonts w:ascii="Calibri" w:hAnsi="Calibri"/>
                <w:sz w:val="20"/>
              </w:rPr>
              <w:t>47.700,00</w:t>
            </w:r>
          </w:p>
        </w:tc>
      </w:tr>
      <w:tr>
        <w:tc>
          <w:tcPr>
            <w:tcW w:type="dxa" w:w="4394"/>
          </w:tcPr>
          <w:p>
            <w:r>
              <w:rPr>
                <w:rFonts w:ascii="Calibri" w:hAnsi="Calibri"/>
                <w:sz w:val="20"/>
              </w:rPr>
              <w:t>Maschinenverwertung EML GmbH</w:t>
            </w:r>
          </w:p>
        </w:tc>
        <w:tc>
          <w:tcPr>
            <w:tcW w:type="dxa" w:w="4394"/>
          </w:tcPr>
          <w:p>
            <w:r>
              <w:rPr>
                <w:rFonts w:ascii="Calibri" w:hAnsi="Calibri"/>
                <w:sz w:val="20"/>
              </w:rPr>
              <w:t>237.000,00</w:t>
            </w:r>
          </w:p>
        </w:tc>
      </w:tr>
      <w:tr>
        <w:tc>
          <w:tcPr>
            <w:tcW w:type="dxa" w:w="4394"/>
          </w:tcPr>
          <w:p>
            <w:r>
              <w:rPr>
                <w:rFonts w:ascii="Calibri" w:hAnsi="Calibri"/>
                <w:sz w:val="20"/>
              </w:rPr>
              <w:t>Online-Auktion Büro/IT</w:t>
            </w:r>
          </w:p>
        </w:tc>
        <w:tc>
          <w:tcPr>
            <w:tcW w:type="dxa" w:w="4394"/>
          </w:tcPr>
          <w:p>
            <w:r>
              <w:rPr>
                <w:rFonts w:ascii="Calibri" w:hAnsi="Calibri"/>
                <w:sz w:val="20"/>
              </w:rPr>
              <w:t>18.400,00</w:t>
            </w:r>
          </w:p>
        </w:tc>
      </w:tr>
      <w:tr>
        <w:tc>
          <w:tcPr>
            <w:tcW w:type="dxa" w:w="4394"/>
          </w:tcPr>
          <w:p>
            <w:r>
              <w:rPr>
                <w:rFonts w:ascii="Calibri" w:hAnsi="Calibri"/>
                <w:sz w:val="20"/>
              </w:rPr>
              <w:t>Lackierkabine Auktionshaus</w:t>
            </w:r>
          </w:p>
        </w:tc>
        <w:tc>
          <w:tcPr>
            <w:tcW w:type="dxa" w:w="4394"/>
          </w:tcPr>
          <w:p>
            <w:r>
              <w:rPr>
                <w:rFonts w:ascii="Calibri" w:hAnsi="Calibri"/>
                <w:sz w:val="20"/>
              </w:rPr>
              <w:t>41.000,00</w:t>
            </w:r>
          </w:p>
        </w:tc>
      </w:tr>
      <w:tr>
        <w:tc>
          <w:tcPr>
            <w:tcW w:type="dxa" w:w="4394"/>
          </w:tcPr>
          <w:p>
            <w:r>
              <w:rPr>
                <w:rFonts w:ascii="Calibri" w:hAnsi="Calibri"/>
                <w:sz w:val="20"/>
              </w:rPr>
              <w:t>Kautionsrückzahlung Halle</w:t>
            </w:r>
          </w:p>
        </w:tc>
        <w:tc>
          <w:tcPr>
            <w:tcW w:type="dxa" w:w="4394"/>
          </w:tcPr>
          <w:p>
            <w:r>
              <w:rPr>
                <w:rFonts w:ascii="Calibri" w:hAnsi="Calibri"/>
                <w:sz w:val="20"/>
              </w:rPr>
              <w:t>12.000,00</w:t>
            </w:r>
          </w:p>
        </w:tc>
      </w:tr>
      <w:tr>
        <w:tc>
          <w:tcPr>
            <w:tcW w:type="dxa" w:w="4394"/>
          </w:tcPr>
          <w:p>
            <w:r>
              <w:rPr>
                <w:rFonts w:ascii="Calibri" w:hAnsi="Calibri"/>
                <w:sz w:val="20"/>
              </w:rPr>
              <w:t>Kundenforderungen (globalzediert)</w:t>
            </w:r>
          </w:p>
        </w:tc>
        <w:tc>
          <w:tcPr>
            <w:tcW w:type="dxa" w:w="4394"/>
          </w:tcPr>
          <w:p>
            <w:r>
              <w:rPr>
                <w:rFonts w:ascii="Calibri" w:hAnsi="Calibri"/>
                <w:sz w:val="20"/>
              </w:rPr>
              <w:t>172.000,00</w:t>
            </w:r>
          </w:p>
        </w:tc>
      </w:tr>
      <w:tr>
        <w:tc>
          <w:tcPr>
            <w:tcW w:type="dxa" w:w="4394"/>
          </w:tcPr>
          <w:p>
            <w:r>
              <w:rPr>
                <w:rFonts w:ascii="Calibri" w:hAnsi="Calibri"/>
                <w:sz w:val="20"/>
              </w:rPr>
              <w:t>Kundenforderungen (frei)</w:t>
            </w:r>
          </w:p>
        </w:tc>
        <w:tc>
          <w:tcPr>
            <w:tcW w:type="dxa" w:w="4394"/>
          </w:tcPr>
          <w:p>
            <w:r>
              <w:rPr>
                <w:rFonts w:ascii="Calibri" w:hAnsi="Calibri"/>
                <w:sz w:val="20"/>
              </w:rPr>
              <w:t>18.400,00</w:t>
            </w:r>
          </w:p>
        </w:tc>
      </w:tr>
      <w:tr>
        <w:tc>
          <w:tcPr>
            <w:tcW w:type="dxa" w:w="4394"/>
          </w:tcPr>
          <w:p>
            <w:r>
              <w:rPr>
                <w:rFonts w:ascii="Calibri" w:hAnsi="Calibri"/>
                <w:sz w:val="20"/>
              </w:rPr>
              <w:t>EV-Vergleich Prignitz Forst KG</w:t>
            </w:r>
          </w:p>
        </w:tc>
        <w:tc>
          <w:tcPr>
            <w:tcW w:type="dxa" w:w="4394"/>
          </w:tcPr>
          <w:p>
            <w:r>
              <w:rPr>
                <w:rFonts w:ascii="Calibri" w:hAnsi="Calibri"/>
                <w:sz w:val="20"/>
              </w:rPr>
              <w:t>38.000,00</w:t>
            </w:r>
          </w:p>
        </w:tc>
      </w:tr>
      <w:tr>
        <w:tc>
          <w:tcPr>
            <w:tcW w:type="dxa" w:w="4394"/>
          </w:tcPr>
          <w:p>
            <w:r>
              <w:rPr>
                <w:rFonts w:ascii="Calibri" w:hAnsi="Calibri"/>
                <w:sz w:val="20"/>
              </w:rPr>
              <w:t>D&amp;O-Vergleich</w:t>
            </w:r>
          </w:p>
        </w:tc>
        <w:tc>
          <w:tcPr>
            <w:tcW w:type="dxa" w:w="4394"/>
          </w:tcPr>
          <w:p>
            <w:r>
              <w:rPr>
                <w:rFonts w:ascii="Calibri" w:hAnsi="Calibri"/>
                <w:sz w:val="20"/>
              </w:rPr>
              <w:t>115.000,00</w:t>
            </w:r>
          </w:p>
        </w:tc>
      </w:tr>
      <w:tr>
        <w:tc>
          <w:tcPr>
            <w:tcW w:type="dxa" w:w="4394"/>
          </w:tcPr>
          <w:p>
            <w:r>
              <w:rPr>
                <w:rFonts w:ascii="Calibri" w:hAnsi="Calibri"/>
                <w:sz w:val="20"/>
              </w:rPr>
              <w:t>Anfechtungserlöse</w:t>
            </w:r>
          </w:p>
        </w:tc>
        <w:tc>
          <w:tcPr>
            <w:tcW w:type="dxa" w:w="4394"/>
          </w:tcPr>
          <w:p>
            <w:r>
              <w:rPr>
                <w:rFonts w:ascii="Calibri" w:hAnsi="Calibri"/>
                <w:sz w:val="20"/>
              </w:rPr>
              <w:t>41.000,00</w:t>
            </w:r>
          </w:p>
        </w:tc>
      </w:tr>
      <w:tr>
        <w:tc>
          <w:tcPr>
            <w:tcW w:type="dxa" w:w="4394"/>
          </w:tcPr>
          <w:p>
            <w:r>
              <w:rPr>
                <w:rFonts w:ascii="Calibri" w:hAnsi="Calibri"/>
                <w:sz w:val="20"/>
              </w:rPr>
              <w:t>Steuererstattung 2026</w:t>
            </w:r>
          </w:p>
        </w:tc>
        <w:tc>
          <w:tcPr>
            <w:tcW w:type="dxa" w:w="4394"/>
          </w:tcPr>
          <w:p>
            <w:r>
              <w:rPr>
                <w:rFonts w:ascii="Calibri" w:hAnsi="Calibri"/>
                <w:sz w:val="20"/>
              </w:rPr>
              <w:t>14.200,00</w:t>
            </w:r>
          </w:p>
        </w:tc>
      </w:tr>
      <w:tr>
        <w:tc>
          <w:tcPr>
            <w:tcW w:type="dxa" w:w="4394"/>
            <w:shd w:val="clear" w:color="auto" w:fill="E2EFDA"/>
          </w:tcPr>
          <w:p>
            <w:r>
              <w:rPr>
                <w:rFonts w:ascii="Calibri" w:hAnsi="Calibri"/>
                <w:b/>
                <w:sz w:val="20"/>
              </w:rPr>
              <w:t>SUMME EINNAHMEN</w:t>
            </w:r>
          </w:p>
        </w:tc>
        <w:tc>
          <w:tcPr>
            <w:tcW w:type="dxa" w:w="4394"/>
            <w:shd w:val="clear" w:color="auto" w:fill="E2EFDA"/>
          </w:tcPr>
          <w:p>
            <w:r>
              <w:rPr>
                <w:rFonts w:ascii="Calibri" w:hAnsi="Calibri"/>
                <w:b/>
                <w:sz w:val="20"/>
              </w:rPr>
              <w:t>777.830,00</w:t>
            </w:r>
          </w:p>
        </w:tc>
      </w:tr>
    </w:tbl>
    <w:p/>
    <w:p>
      <w:pPr>
        <w:jc w:val="both"/>
      </w:pPr>
      <w:r>
        <w:rPr>
          <w:rFonts w:ascii="Calibri" w:hAnsi="Calibri"/>
          <w:b/>
          <w:sz w:val="22"/>
        </w:rPr>
        <w:t>Ausgaben:</w:t>
      </w:r>
    </w:p>
    <w:tbl>
      <w:tblPr>
        <w:tblStyle w:val="TableGrid"/>
        <w:tblW w:type="auto" w:w="0"/>
        <w:tblLook w:firstColumn="1" w:firstRow="1" w:lastColumn="0" w:lastRow="0" w:noHBand="0" w:noVBand="1" w:val="04A0"/>
      </w:tblPr>
      <w:tblGrid>
        <w:gridCol w:w="4394"/>
        <w:gridCol w:w="4394"/>
      </w:tblGrid>
      <w:tr>
        <w:tc>
          <w:tcPr>
            <w:tcW w:type="dxa" w:w="4394"/>
            <w:shd w:val="clear" w:color="auto" w:fill="2E75B6"/>
          </w:tcPr>
          <w:p>
            <w:r>
              <w:rPr>
                <w:rFonts w:ascii="Calibri" w:hAnsi="Calibri"/>
                <w:b/>
                <w:color w:val="FFFFFF"/>
                <w:sz w:val="20"/>
              </w:rPr>
              <w:t>Position</w:t>
            </w:r>
          </w:p>
        </w:tc>
        <w:tc>
          <w:tcPr>
            <w:tcW w:type="dxa" w:w="4394"/>
            <w:shd w:val="clear" w:color="auto" w:fill="2E75B6"/>
          </w:tcPr>
          <w:p>
            <w:r>
              <w:rPr>
                <w:rFonts w:ascii="Calibri" w:hAnsi="Calibri"/>
                <w:b/>
                <w:color w:val="FFFFFF"/>
                <w:sz w:val="20"/>
              </w:rPr>
              <w:t>Betrag (EUR)</w:t>
            </w:r>
          </w:p>
        </w:tc>
      </w:tr>
      <w:tr>
        <w:tc>
          <w:tcPr>
            <w:tcW w:type="dxa" w:w="4394"/>
          </w:tcPr>
          <w:p>
            <w:r>
              <w:rPr>
                <w:rFonts w:ascii="Calibri" w:hAnsi="Calibri"/>
                <w:sz w:val="20"/>
              </w:rPr>
              <w:t>Betriebsfortführungskosten</w:t>
            </w:r>
          </w:p>
        </w:tc>
        <w:tc>
          <w:tcPr>
            <w:tcW w:type="dxa" w:w="4394"/>
          </w:tcPr>
          <w:p>
            <w:r>
              <w:rPr>
                <w:rFonts w:ascii="Calibri" w:hAnsi="Calibri"/>
                <w:sz w:val="20"/>
              </w:rPr>
              <w:t>43.200,00</w:t>
            </w:r>
          </w:p>
        </w:tc>
      </w:tr>
      <w:tr>
        <w:tc>
          <w:tcPr>
            <w:tcW w:type="dxa" w:w="4394"/>
          </w:tcPr>
          <w:p>
            <w:r>
              <w:rPr>
                <w:rFonts w:ascii="Calibri" w:hAnsi="Calibri"/>
                <w:sz w:val="20"/>
              </w:rPr>
              <w:t>Löhne Fortführungsphase</w:t>
            </w:r>
          </w:p>
        </w:tc>
        <w:tc>
          <w:tcPr>
            <w:tcW w:type="dxa" w:w="4394"/>
          </w:tcPr>
          <w:p>
            <w:r>
              <w:rPr>
                <w:rFonts w:ascii="Calibri" w:hAnsi="Calibri"/>
                <w:sz w:val="20"/>
              </w:rPr>
              <w:t>24.800,00</w:t>
            </w:r>
          </w:p>
        </w:tc>
      </w:tr>
      <w:tr>
        <w:tc>
          <w:tcPr>
            <w:tcW w:type="dxa" w:w="4394"/>
          </w:tcPr>
          <w:p>
            <w:r>
              <w:rPr>
                <w:rFonts w:ascii="Calibri" w:hAnsi="Calibri"/>
                <w:sz w:val="20"/>
              </w:rPr>
              <w:t>Insolvenzgeld-Vorfinanzierung (Rückzahlung)</w:t>
            </w:r>
          </w:p>
        </w:tc>
        <w:tc>
          <w:tcPr>
            <w:tcW w:type="dxa" w:w="4394"/>
          </w:tcPr>
          <w:p>
            <w:r>
              <w:rPr>
                <w:rFonts w:ascii="Calibri" w:hAnsi="Calibri"/>
                <w:sz w:val="20"/>
              </w:rPr>
              <w:t>236.000,00</w:t>
            </w:r>
          </w:p>
        </w:tc>
      </w:tr>
      <w:tr>
        <w:tc>
          <w:tcPr>
            <w:tcW w:type="dxa" w:w="4394"/>
          </w:tcPr>
          <w:p>
            <w:r>
              <w:rPr>
                <w:rFonts w:ascii="Calibri" w:hAnsi="Calibri"/>
                <w:sz w:val="20"/>
              </w:rPr>
              <w:t>Masseverbindlichkeiten Lieferanten</w:t>
            </w:r>
          </w:p>
        </w:tc>
        <w:tc>
          <w:tcPr>
            <w:tcW w:type="dxa" w:w="4394"/>
          </w:tcPr>
          <w:p>
            <w:r>
              <w:rPr>
                <w:rFonts w:ascii="Calibri" w:hAnsi="Calibri"/>
                <w:sz w:val="20"/>
              </w:rPr>
              <w:t>42.000,00</w:t>
            </w:r>
          </w:p>
        </w:tc>
      </w:tr>
      <w:tr>
        <w:tc>
          <w:tcPr>
            <w:tcW w:type="dxa" w:w="4394"/>
          </w:tcPr>
          <w:p>
            <w:r>
              <w:rPr>
                <w:rFonts w:ascii="Calibri" w:hAnsi="Calibri"/>
                <w:sz w:val="20"/>
              </w:rPr>
              <w:t>Masseverbindlichkeiten Miete</w:t>
            </w:r>
          </w:p>
        </w:tc>
        <w:tc>
          <w:tcPr>
            <w:tcW w:type="dxa" w:w="4394"/>
          </w:tcPr>
          <w:p>
            <w:r>
              <w:rPr>
                <w:rFonts w:ascii="Calibri" w:hAnsi="Calibri"/>
                <w:sz w:val="20"/>
              </w:rPr>
              <w:t>18.000,00</w:t>
            </w:r>
          </w:p>
        </w:tc>
      </w:tr>
      <w:tr>
        <w:tc>
          <w:tcPr>
            <w:tcW w:type="dxa" w:w="4394"/>
          </w:tcPr>
          <w:p>
            <w:r>
              <w:rPr>
                <w:rFonts w:ascii="Calibri" w:hAnsi="Calibri"/>
                <w:sz w:val="20"/>
              </w:rPr>
              <w:t>Masseverbindlichkeiten Steuer (Fortführung)</w:t>
            </w:r>
          </w:p>
        </w:tc>
        <w:tc>
          <w:tcPr>
            <w:tcW w:type="dxa" w:w="4394"/>
          </w:tcPr>
          <w:p>
            <w:r>
              <w:rPr>
                <w:rFonts w:ascii="Calibri" w:hAnsi="Calibri"/>
                <w:sz w:val="20"/>
              </w:rPr>
              <w:t>21.000,00</w:t>
            </w:r>
          </w:p>
        </w:tc>
      </w:tr>
      <w:tr>
        <w:tc>
          <w:tcPr>
            <w:tcW w:type="dxa" w:w="4394"/>
          </w:tcPr>
          <w:p>
            <w:r>
              <w:rPr>
                <w:rFonts w:ascii="Calibri" w:hAnsi="Calibri"/>
                <w:sz w:val="20"/>
              </w:rPr>
              <w:t>Sachverständigenhonorar</w:t>
            </w:r>
          </w:p>
        </w:tc>
        <w:tc>
          <w:tcPr>
            <w:tcW w:type="dxa" w:w="4394"/>
          </w:tcPr>
          <w:p>
            <w:r>
              <w:rPr>
                <w:rFonts w:ascii="Calibri" w:hAnsi="Calibri"/>
                <w:sz w:val="20"/>
              </w:rPr>
              <w:t>6.600,00</w:t>
            </w:r>
          </w:p>
        </w:tc>
      </w:tr>
      <w:tr>
        <w:tc>
          <w:tcPr>
            <w:tcW w:type="dxa" w:w="4394"/>
          </w:tcPr>
          <w:p>
            <w:r>
              <w:rPr>
                <w:rFonts w:ascii="Calibri" w:hAnsi="Calibri"/>
                <w:sz w:val="20"/>
              </w:rPr>
              <w:t>Verwertungsprovisionen (4 %)</w:t>
            </w:r>
          </w:p>
        </w:tc>
        <w:tc>
          <w:tcPr>
            <w:tcW w:type="dxa" w:w="4394"/>
          </w:tcPr>
          <w:p>
            <w:r>
              <w:rPr>
                <w:rFonts w:ascii="Calibri" w:hAnsi="Calibri"/>
                <w:sz w:val="20"/>
              </w:rPr>
              <w:t>12.040,00</w:t>
            </w:r>
          </w:p>
        </w:tc>
      </w:tr>
      <w:tr>
        <w:tc>
          <w:tcPr>
            <w:tcW w:type="dxa" w:w="4394"/>
          </w:tcPr>
          <w:p>
            <w:r>
              <w:rPr>
                <w:rFonts w:ascii="Calibri" w:hAnsi="Calibri"/>
                <w:sz w:val="20"/>
              </w:rPr>
              <w:t>Gerichtskosten</w:t>
            </w:r>
          </w:p>
        </w:tc>
        <w:tc>
          <w:tcPr>
            <w:tcW w:type="dxa" w:w="4394"/>
          </w:tcPr>
          <w:p>
            <w:r>
              <w:rPr>
                <w:rFonts w:ascii="Calibri" w:hAnsi="Calibri"/>
                <w:sz w:val="20"/>
              </w:rPr>
              <w:t>8.200,00</w:t>
            </w:r>
          </w:p>
        </w:tc>
      </w:tr>
      <w:tr>
        <w:tc>
          <w:tcPr>
            <w:tcW w:type="dxa" w:w="4394"/>
          </w:tcPr>
          <w:p>
            <w:r>
              <w:rPr>
                <w:rFonts w:ascii="Calibri" w:hAnsi="Calibri"/>
                <w:sz w:val="20"/>
              </w:rPr>
              <w:t>Bekanntmachungen, Zustellungen</w:t>
            </w:r>
          </w:p>
        </w:tc>
        <w:tc>
          <w:tcPr>
            <w:tcW w:type="dxa" w:w="4394"/>
          </w:tcPr>
          <w:p>
            <w:r>
              <w:rPr>
                <w:rFonts w:ascii="Calibri" w:hAnsi="Calibri"/>
                <w:sz w:val="20"/>
              </w:rPr>
              <w:t>1.400,00</w:t>
            </w:r>
          </w:p>
        </w:tc>
      </w:tr>
      <w:tr>
        <w:tc>
          <w:tcPr>
            <w:tcW w:type="dxa" w:w="4394"/>
          </w:tcPr>
          <w:p>
            <w:r>
              <w:rPr>
                <w:rFonts w:ascii="Calibri" w:hAnsi="Calibri"/>
                <w:sz w:val="20"/>
              </w:rPr>
              <w:t>IV-Vergütung inkl. MwSt.</w:t>
            </w:r>
          </w:p>
        </w:tc>
        <w:tc>
          <w:tcPr>
            <w:tcW w:type="dxa" w:w="4394"/>
          </w:tcPr>
          <w:p>
            <w:r>
              <w:rPr>
                <w:rFonts w:ascii="Calibri" w:hAnsi="Calibri"/>
                <w:sz w:val="20"/>
              </w:rPr>
              <w:t>74.800,00</w:t>
            </w:r>
          </w:p>
        </w:tc>
      </w:tr>
      <w:tr>
        <w:tc>
          <w:tcPr>
            <w:tcW w:type="dxa" w:w="4394"/>
            <w:shd w:val="clear" w:color="auto" w:fill="FCE4D6"/>
          </w:tcPr>
          <w:p>
            <w:r>
              <w:rPr>
                <w:rFonts w:ascii="Calibri" w:hAnsi="Calibri"/>
                <w:b/>
                <w:sz w:val="20"/>
              </w:rPr>
              <w:t>SUMME AUSGABEN</w:t>
            </w:r>
          </w:p>
        </w:tc>
        <w:tc>
          <w:tcPr>
            <w:tcW w:type="dxa" w:w="4394"/>
            <w:shd w:val="clear" w:color="auto" w:fill="FCE4D6"/>
          </w:tcPr>
          <w:p>
            <w:r>
              <w:rPr>
                <w:rFonts w:ascii="Calibri" w:hAnsi="Calibri"/>
                <w:b/>
                <w:sz w:val="20"/>
              </w:rPr>
              <w:t>488.040,00</w:t>
            </w:r>
          </w:p>
        </w:tc>
      </w:tr>
    </w:tbl>
    <w:p/>
    <w:p>
      <w:pPr>
        <w:jc w:val="both"/>
      </w:pPr>
      <w:r>
        <w:rPr>
          <w:rFonts w:ascii="Calibri" w:hAnsi="Calibri"/>
          <w:b/>
          <w:sz w:val="24"/>
        </w:rPr>
        <w:t>Verteilungsmasse für § 38-Gläubiger: 289.790,00 EUR | Quote: ca. 18,4 %</w:t>
      </w:r>
    </w:p>
    <w:p/>
    <w:p>
      <w:pPr>
        <w:jc w:val="left"/>
      </w:pPr>
      <w:r>
        <w:rPr>
          <w:rFonts w:ascii="Calibri" w:hAnsi="Calibri"/>
          <w:b/>
          <w:sz w:val="24"/>
        </w:rPr>
        <w:t>III. Forderungstabelle (Zusammenfassung)</w:t>
      </w:r>
    </w:p>
    <w:tbl>
      <w:tblPr>
        <w:tblStyle w:val="TableGrid"/>
        <w:tblW w:type="auto" w:w="0"/>
        <w:tblLook w:firstColumn="1" w:firstRow="1" w:lastColumn="0" w:lastRow="0" w:noHBand="0" w:noVBand="1" w:val="04A0"/>
      </w:tblPr>
      <w:tblGrid>
        <w:gridCol w:w="1758"/>
        <w:gridCol w:w="1758"/>
        <w:gridCol w:w="1758"/>
        <w:gridCol w:w="1758"/>
        <w:gridCol w:w="1758"/>
      </w:tblGrid>
      <w:tr>
        <w:tc>
          <w:tcPr>
            <w:tcW w:type="dxa" w:w="1758"/>
            <w:shd w:val="clear" w:color="auto" w:fill="2E75B6"/>
          </w:tcPr>
          <w:p>
            <w:r>
              <w:rPr>
                <w:rFonts w:ascii="Calibri" w:hAnsi="Calibri"/>
                <w:b/>
                <w:color w:val="FFFFFF"/>
                <w:sz w:val="18"/>
              </w:rPr>
              <w:t>Gläubiger</w:t>
            </w:r>
          </w:p>
        </w:tc>
        <w:tc>
          <w:tcPr>
            <w:tcW w:type="dxa" w:w="1758"/>
            <w:shd w:val="clear" w:color="auto" w:fill="2E75B6"/>
          </w:tcPr>
          <w:p>
            <w:r>
              <w:rPr>
                <w:rFonts w:ascii="Calibri" w:hAnsi="Calibri"/>
                <w:b/>
                <w:color w:val="FFFFFF"/>
                <w:sz w:val="18"/>
              </w:rPr>
              <w:t>Angemeldet</w:t>
            </w:r>
          </w:p>
        </w:tc>
        <w:tc>
          <w:tcPr>
            <w:tcW w:type="dxa" w:w="1758"/>
            <w:shd w:val="clear" w:color="auto" w:fill="2E75B6"/>
          </w:tcPr>
          <w:p>
            <w:r>
              <w:rPr>
                <w:rFonts w:ascii="Calibri" w:hAnsi="Calibri"/>
                <w:b/>
                <w:color w:val="FFFFFF"/>
                <w:sz w:val="18"/>
              </w:rPr>
              <w:t>Festgestellt</w:t>
            </w:r>
          </w:p>
        </w:tc>
        <w:tc>
          <w:tcPr>
            <w:tcW w:type="dxa" w:w="1758"/>
            <w:shd w:val="clear" w:color="auto" w:fill="2E75B6"/>
          </w:tcPr>
          <w:p>
            <w:r>
              <w:rPr>
                <w:rFonts w:ascii="Calibri" w:hAnsi="Calibri"/>
                <w:b/>
                <w:color w:val="FFFFFF"/>
                <w:sz w:val="18"/>
              </w:rPr>
              <w:t>Quote %</w:t>
            </w:r>
          </w:p>
        </w:tc>
        <w:tc>
          <w:tcPr>
            <w:tcW w:type="dxa" w:w="1758"/>
            <w:shd w:val="clear" w:color="auto" w:fill="2E75B6"/>
          </w:tcPr>
          <w:p>
            <w:r>
              <w:rPr>
                <w:rFonts w:ascii="Calibri" w:hAnsi="Calibri"/>
                <w:b/>
                <w:color w:val="FFFFFF"/>
                <w:sz w:val="18"/>
              </w:rPr>
              <w:t>Auszahlung</w:t>
            </w:r>
          </w:p>
        </w:tc>
      </w:tr>
      <w:tr>
        <w:tc>
          <w:tcPr>
            <w:tcW w:type="dxa" w:w="1758"/>
          </w:tcPr>
          <w:p>
            <w:r>
              <w:rPr>
                <w:rFonts w:ascii="Calibri" w:hAnsi="Calibri"/>
                <w:sz w:val="18"/>
              </w:rPr>
              <w:t>Furnier Nord GmbH</w:t>
            </w:r>
          </w:p>
        </w:tc>
        <w:tc>
          <w:tcPr>
            <w:tcW w:type="dxa" w:w="1758"/>
          </w:tcPr>
          <w:p>
            <w:r>
              <w:rPr>
                <w:rFonts w:ascii="Calibri" w:hAnsi="Calibri"/>
                <w:sz w:val="18"/>
              </w:rPr>
              <w:t>186.420</w:t>
            </w:r>
          </w:p>
        </w:tc>
        <w:tc>
          <w:tcPr>
            <w:tcW w:type="dxa" w:w="1758"/>
          </w:tcPr>
          <w:p>
            <w:r>
              <w:rPr>
                <w:rFonts w:ascii="Calibri" w:hAnsi="Calibri"/>
                <w:sz w:val="18"/>
              </w:rPr>
              <w:t>186.420</w:t>
            </w:r>
          </w:p>
        </w:tc>
        <w:tc>
          <w:tcPr>
            <w:tcW w:type="dxa" w:w="1758"/>
          </w:tcPr>
          <w:p>
            <w:r>
              <w:rPr>
                <w:rFonts w:ascii="Calibri" w:hAnsi="Calibri"/>
                <w:sz w:val="18"/>
              </w:rPr>
              <w:t>18,4</w:t>
            </w:r>
          </w:p>
        </w:tc>
        <w:tc>
          <w:tcPr>
            <w:tcW w:type="dxa" w:w="1758"/>
          </w:tcPr>
          <w:p>
            <w:r>
              <w:rPr>
                <w:rFonts w:ascii="Calibri" w:hAnsi="Calibri"/>
                <w:sz w:val="18"/>
              </w:rPr>
              <w:t>34.305,00</w:t>
            </w:r>
          </w:p>
        </w:tc>
      </w:tr>
      <w:tr>
        <w:tc>
          <w:tcPr>
            <w:tcW w:type="dxa" w:w="1758"/>
          </w:tcPr>
          <w:p>
            <w:r>
              <w:rPr>
                <w:rFonts w:ascii="Calibri" w:hAnsi="Calibri"/>
                <w:sz w:val="18"/>
              </w:rPr>
              <w:t>Havelbank eG (Ausfall)</w:t>
            </w:r>
          </w:p>
        </w:tc>
        <w:tc>
          <w:tcPr>
            <w:tcW w:type="dxa" w:w="1758"/>
          </w:tcPr>
          <w:p>
            <w:r>
              <w:rPr>
                <w:rFonts w:ascii="Calibri" w:hAnsi="Calibri"/>
                <w:sz w:val="18"/>
              </w:rPr>
              <w:t>136.500</w:t>
            </w:r>
          </w:p>
        </w:tc>
        <w:tc>
          <w:tcPr>
            <w:tcW w:type="dxa" w:w="1758"/>
          </w:tcPr>
          <w:p>
            <w:r>
              <w:rPr>
                <w:rFonts w:ascii="Calibri" w:hAnsi="Calibri"/>
                <w:sz w:val="18"/>
              </w:rPr>
              <w:t>136.500</w:t>
            </w:r>
          </w:p>
        </w:tc>
        <w:tc>
          <w:tcPr>
            <w:tcW w:type="dxa" w:w="1758"/>
          </w:tcPr>
          <w:p>
            <w:r>
              <w:rPr>
                <w:rFonts w:ascii="Calibri" w:hAnsi="Calibri"/>
                <w:sz w:val="18"/>
              </w:rPr>
              <w:t>18,4</w:t>
            </w:r>
          </w:p>
        </w:tc>
        <w:tc>
          <w:tcPr>
            <w:tcW w:type="dxa" w:w="1758"/>
          </w:tcPr>
          <w:p>
            <w:r>
              <w:rPr>
                <w:rFonts w:ascii="Calibri" w:hAnsi="Calibri"/>
                <w:sz w:val="18"/>
              </w:rPr>
              <w:t>25.116,00</w:t>
            </w:r>
          </w:p>
        </w:tc>
      </w:tr>
      <w:tr>
        <w:tc>
          <w:tcPr>
            <w:tcW w:type="dxa" w:w="1758"/>
          </w:tcPr>
          <w:p>
            <w:r>
              <w:rPr>
                <w:rFonts w:ascii="Calibri" w:hAnsi="Calibri"/>
                <w:sz w:val="18"/>
              </w:rPr>
              <w:t>Finanzamt Stendal</w:t>
            </w:r>
          </w:p>
        </w:tc>
        <w:tc>
          <w:tcPr>
            <w:tcW w:type="dxa" w:w="1758"/>
          </w:tcPr>
          <w:p>
            <w:r>
              <w:rPr>
                <w:rFonts w:ascii="Calibri" w:hAnsi="Calibri"/>
                <w:sz w:val="18"/>
              </w:rPr>
              <w:t>92.340</w:t>
            </w:r>
          </w:p>
        </w:tc>
        <w:tc>
          <w:tcPr>
            <w:tcW w:type="dxa" w:w="1758"/>
          </w:tcPr>
          <w:p>
            <w:r>
              <w:rPr>
                <w:rFonts w:ascii="Calibri" w:hAnsi="Calibri"/>
                <w:sz w:val="18"/>
              </w:rPr>
              <w:t>92.340</w:t>
            </w:r>
          </w:p>
        </w:tc>
        <w:tc>
          <w:tcPr>
            <w:tcW w:type="dxa" w:w="1758"/>
          </w:tcPr>
          <w:p>
            <w:r>
              <w:rPr>
                <w:rFonts w:ascii="Calibri" w:hAnsi="Calibri"/>
                <w:sz w:val="18"/>
              </w:rPr>
              <w:t>18,4</w:t>
            </w:r>
          </w:p>
        </w:tc>
        <w:tc>
          <w:tcPr>
            <w:tcW w:type="dxa" w:w="1758"/>
          </w:tcPr>
          <w:p>
            <w:r>
              <w:rPr>
                <w:rFonts w:ascii="Calibri" w:hAnsi="Calibri"/>
                <w:sz w:val="18"/>
              </w:rPr>
              <w:t>16.990,56</w:t>
            </w:r>
          </w:p>
        </w:tc>
      </w:tr>
      <w:tr>
        <w:tc>
          <w:tcPr>
            <w:tcW w:type="dxa" w:w="1758"/>
          </w:tcPr>
          <w:p>
            <w:r>
              <w:rPr>
                <w:rFonts w:ascii="Calibri" w:hAnsi="Calibri"/>
                <w:sz w:val="18"/>
              </w:rPr>
              <w:t>AOK Sachsen-Anhalt</w:t>
            </w:r>
          </w:p>
        </w:tc>
        <w:tc>
          <w:tcPr>
            <w:tcW w:type="dxa" w:w="1758"/>
          </w:tcPr>
          <w:p>
            <w:r>
              <w:rPr>
                <w:rFonts w:ascii="Calibri" w:hAnsi="Calibri"/>
                <w:sz w:val="18"/>
              </w:rPr>
              <w:t>61.200</w:t>
            </w:r>
          </w:p>
        </w:tc>
        <w:tc>
          <w:tcPr>
            <w:tcW w:type="dxa" w:w="1758"/>
          </w:tcPr>
          <w:p>
            <w:r>
              <w:rPr>
                <w:rFonts w:ascii="Calibri" w:hAnsi="Calibri"/>
                <w:sz w:val="18"/>
              </w:rPr>
              <w:t>61.200</w:t>
            </w:r>
          </w:p>
        </w:tc>
        <w:tc>
          <w:tcPr>
            <w:tcW w:type="dxa" w:w="1758"/>
          </w:tcPr>
          <w:p>
            <w:r>
              <w:rPr>
                <w:rFonts w:ascii="Calibri" w:hAnsi="Calibri"/>
                <w:sz w:val="18"/>
              </w:rPr>
              <w:t>18,4</w:t>
            </w:r>
          </w:p>
        </w:tc>
        <w:tc>
          <w:tcPr>
            <w:tcW w:type="dxa" w:w="1758"/>
          </w:tcPr>
          <w:p>
            <w:r>
              <w:rPr>
                <w:rFonts w:ascii="Calibri" w:hAnsi="Calibri"/>
                <w:sz w:val="18"/>
              </w:rPr>
              <w:t>11.260,80</w:t>
            </w:r>
          </w:p>
        </w:tc>
      </w:tr>
      <w:tr>
        <w:tc>
          <w:tcPr>
            <w:tcW w:type="dxa" w:w="1758"/>
          </w:tcPr>
          <w:p>
            <w:r>
              <w:rPr>
                <w:rFonts w:ascii="Calibri" w:hAnsi="Calibri"/>
                <w:sz w:val="18"/>
              </w:rPr>
              <w:t>M. Kordes</w:t>
            </w:r>
          </w:p>
        </w:tc>
        <w:tc>
          <w:tcPr>
            <w:tcW w:type="dxa" w:w="1758"/>
          </w:tcPr>
          <w:p>
            <w:r>
              <w:rPr>
                <w:rFonts w:ascii="Calibri" w:hAnsi="Calibri"/>
                <w:sz w:val="18"/>
              </w:rPr>
              <w:t>7.800</w:t>
            </w:r>
          </w:p>
        </w:tc>
        <w:tc>
          <w:tcPr>
            <w:tcW w:type="dxa" w:w="1758"/>
          </w:tcPr>
          <w:p>
            <w:r>
              <w:rPr>
                <w:rFonts w:ascii="Calibri" w:hAnsi="Calibri"/>
                <w:sz w:val="18"/>
              </w:rPr>
              <w:t>0</w:t>
            </w:r>
          </w:p>
        </w:tc>
        <w:tc>
          <w:tcPr>
            <w:tcW w:type="dxa" w:w="1758"/>
          </w:tcPr>
          <w:p>
            <w:r>
              <w:rPr>
                <w:rFonts w:ascii="Calibri" w:hAnsi="Calibri"/>
                <w:sz w:val="18"/>
              </w:rPr>
              <w:t>–</w:t>
            </w:r>
          </w:p>
        </w:tc>
        <w:tc>
          <w:tcPr>
            <w:tcW w:type="dxa" w:w="1758"/>
          </w:tcPr>
          <w:p>
            <w:r>
              <w:rPr>
                <w:rFonts w:ascii="Calibri" w:hAnsi="Calibri"/>
                <w:sz w:val="18"/>
              </w:rPr>
              <w:t>0,00</w:t>
            </w:r>
          </w:p>
        </w:tc>
      </w:tr>
      <w:tr>
        <w:tc>
          <w:tcPr>
            <w:tcW w:type="dxa" w:w="1758"/>
          </w:tcPr>
          <w:p>
            <w:r>
              <w:rPr>
                <w:rFonts w:ascii="Calibri" w:hAnsi="Calibri"/>
                <w:sz w:val="18"/>
              </w:rPr>
              <w:t>Prignitz Forst KG</w:t>
            </w:r>
          </w:p>
        </w:tc>
        <w:tc>
          <w:tcPr>
            <w:tcW w:type="dxa" w:w="1758"/>
          </w:tcPr>
          <w:p>
            <w:r>
              <w:rPr>
                <w:rFonts w:ascii="Calibri" w:hAnsi="Calibri"/>
                <w:sz w:val="18"/>
              </w:rPr>
              <w:t>43.700</w:t>
            </w:r>
          </w:p>
        </w:tc>
        <w:tc>
          <w:tcPr>
            <w:tcW w:type="dxa" w:w="1758"/>
          </w:tcPr>
          <w:p>
            <w:r>
              <w:rPr>
                <w:rFonts w:ascii="Calibri" w:hAnsi="Calibri"/>
                <w:sz w:val="18"/>
              </w:rPr>
              <w:t>43.700</w:t>
            </w:r>
          </w:p>
        </w:tc>
        <w:tc>
          <w:tcPr>
            <w:tcW w:type="dxa" w:w="1758"/>
          </w:tcPr>
          <w:p>
            <w:r>
              <w:rPr>
                <w:rFonts w:ascii="Calibri" w:hAnsi="Calibri"/>
                <w:sz w:val="18"/>
              </w:rPr>
              <w:t>18,4</w:t>
            </w:r>
          </w:p>
        </w:tc>
        <w:tc>
          <w:tcPr>
            <w:tcW w:type="dxa" w:w="1758"/>
          </w:tcPr>
          <w:p>
            <w:r>
              <w:rPr>
                <w:rFonts w:ascii="Calibri" w:hAnsi="Calibri"/>
                <w:sz w:val="18"/>
              </w:rPr>
              <w:t>8.040,80</w:t>
            </w:r>
          </w:p>
        </w:tc>
      </w:tr>
      <w:tr>
        <w:tc>
          <w:tcPr>
            <w:tcW w:type="dxa" w:w="1758"/>
          </w:tcPr>
          <w:p>
            <w:r>
              <w:rPr>
                <w:rFonts w:ascii="Calibri" w:hAnsi="Calibri"/>
                <w:sz w:val="18"/>
              </w:rPr>
              <w:t>Holzbauer GmbH &amp; Co. KG</w:t>
            </w:r>
          </w:p>
        </w:tc>
        <w:tc>
          <w:tcPr>
            <w:tcW w:type="dxa" w:w="1758"/>
          </w:tcPr>
          <w:p>
            <w:r>
              <w:rPr>
                <w:rFonts w:ascii="Calibri" w:hAnsi="Calibri"/>
                <w:sz w:val="18"/>
              </w:rPr>
              <w:t>28.100</w:t>
            </w:r>
          </w:p>
        </w:tc>
        <w:tc>
          <w:tcPr>
            <w:tcW w:type="dxa" w:w="1758"/>
          </w:tcPr>
          <w:p>
            <w:r>
              <w:rPr>
                <w:rFonts w:ascii="Calibri" w:hAnsi="Calibri"/>
                <w:sz w:val="18"/>
              </w:rPr>
              <w:t>28.100</w:t>
            </w:r>
          </w:p>
        </w:tc>
        <w:tc>
          <w:tcPr>
            <w:tcW w:type="dxa" w:w="1758"/>
          </w:tcPr>
          <w:p>
            <w:r>
              <w:rPr>
                <w:rFonts w:ascii="Calibri" w:hAnsi="Calibri"/>
                <w:sz w:val="18"/>
              </w:rPr>
              <w:t>18,4</w:t>
            </w:r>
          </w:p>
        </w:tc>
        <w:tc>
          <w:tcPr>
            <w:tcW w:type="dxa" w:w="1758"/>
          </w:tcPr>
          <w:p>
            <w:r>
              <w:rPr>
                <w:rFonts w:ascii="Calibri" w:hAnsi="Calibri"/>
                <w:sz w:val="18"/>
              </w:rPr>
              <w:t>5.170,40</w:t>
            </w:r>
          </w:p>
        </w:tc>
      </w:tr>
      <w:tr>
        <w:tc>
          <w:tcPr>
            <w:tcW w:type="dxa" w:w="1758"/>
          </w:tcPr>
          <w:p>
            <w:r>
              <w:rPr>
                <w:rFonts w:ascii="Calibri" w:hAnsi="Calibri"/>
                <w:sz w:val="18"/>
              </w:rPr>
              <w:t>Beschlagwerk Elbe AG</w:t>
            </w:r>
          </w:p>
        </w:tc>
        <w:tc>
          <w:tcPr>
            <w:tcW w:type="dxa" w:w="1758"/>
          </w:tcPr>
          <w:p>
            <w:r>
              <w:rPr>
                <w:rFonts w:ascii="Calibri" w:hAnsi="Calibri"/>
                <w:sz w:val="18"/>
              </w:rPr>
              <w:t>19.440</w:t>
            </w:r>
          </w:p>
        </w:tc>
        <w:tc>
          <w:tcPr>
            <w:tcW w:type="dxa" w:w="1758"/>
          </w:tcPr>
          <w:p>
            <w:r>
              <w:rPr>
                <w:rFonts w:ascii="Calibri" w:hAnsi="Calibri"/>
                <w:sz w:val="18"/>
              </w:rPr>
              <w:t>19.440</w:t>
            </w:r>
          </w:p>
        </w:tc>
        <w:tc>
          <w:tcPr>
            <w:tcW w:type="dxa" w:w="1758"/>
          </w:tcPr>
          <w:p>
            <w:r>
              <w:rPr>
                <w:rFonts w:ascii="Calibri" w:hAnsi="Calibri"/>
                <w:sz w:val="18"/>
              </w:rPr>
              <w:t>18,4</w:t>
            </w:r>
          </w:p>
        </w:tc>
        <w:tc>
          <w:tcPr>
            <w:tcW w:type="dxa" w:w="1758"/>
          </w:tcPr>
          <w:p>
            <w:r>
              <w:rPr>
                <w:rFonts w:ascii="Calibri" w:hAnsi="Calibri"/>
                <w:sz w:val="18"/>
              </w:rPr>
              <w:t>3.576,96</w:t>
            </w:r>
          </w:p>
        </w:tc>
      </w:tr>
      <w:tr>
        <w:tc>
          <w:tcPr>
            <w:tcW w:type="dxa" w:w="1758"/>
          </w:tcPr>
          <w:p>
            <w:r>
              <w:rPr>
                <w:rFonts w:ascii="Calibri" w:hAnsi="Calibri"/>
                <w:sz w:val="18"/>
              </w:rPr>
              <w:t>Havelstrom GbR</w:t>
            </w:r>
          </w:p>
        </w:tc>
        <w:tc>
          <w:tcPr>
            <w:tcW w:type="dxa" w:w="1758"/>
          </w:tcPr>
          <w:p>
            <w:r>
              <w:rPr>
                <w:rFonts w:ascii="Calibri" w:hAnsi="Calibri"/>
                <w:sz w:val="18"/>
              </w:rPr>
              <w:t>48.000</w:t>
            </w:r>
          </w:p>
        </w:tc>
        <w:tc>
          <w:tcPr>
            <w:tcW w:type="dxa" w:w="1758"/>
          </w:tcPr>
          <w:p>
            <w:r>
              <w:rPr>
                <w:rFonts w:ascii="Calibri" w:hAnsi="Calibri"/>
                <w:sz w:val="18"/>
              </w:rPr>
              <w:t>48.000</w:t>
            </w:r>
          </w:p>
        </w:tc>
        <w:tc>
          <w:tcPr>
            <w:tcW w:type="dxa" w:w="1758"/>
          </w:tcPr>
          <w:p>
            <w:r>
              <w:rPr>
                <w:rFonts w:ascii="Calibri" w:hAnsi="Calibri"/>
                <w:sz w:val="18"/>
              </w:rPr>
              <w:t>18,4</w:t>
            </w:r>
          </w:p>
        </w:tc>
        <w:tc>
          <w:tcPr>
            <w:tcW w:type="dxa" w:w="1758"/>
          </w:tcPr>
          <w:p>
            <w:r>
              <w:rPr>
                <w:rFonts w:ascii="Calibri" w:hAnsi="Calibri"/>
                <w:sz w:val="18"/>
              </w:rPr>
              <w:t>8.832,00</w:t>
            </w:r>
          </w:p>
        </w:tc>
      </w:tr>
      <w:tr>
        <w:tc>
          <w:tcPr>
            <w:tcW w:type="dxa" w:w="1758"/>
          </w:tcPr>
          <w:p>
            <w:r>
              <w:rPr>
                <w:rFonts w:ascii="Calibri" w:hAnsi="Calibri"/>
                <w:sz w:val="18"/>
              </w:rPr>
              <w:t>Arbeitnehmer (38 Personen)</w:t>
            </w:r>
          </w:p>
        </w:tc>
        <w:tc>
          <w:tcPr>
            <w:tcW w:type="dxa" w:w="1758"/>
          </w:tcPr>
          <w:p>
            <w:r>
              <w:rPr>
                <w:rFonts w:ascii="Calibri" w:hAnsi="Calibri"/>
                <w:sz w:val="18"/>
              </w:rPr>
              <w:t>236.000</w:t>
            </w:r>
          </w:p>
        </w:tc>
        <w:tc>
          <w:tcPr>
            <w:tcW w:type="dxa" w:w="1758"/>
          </w:tcPr>
          <w:p>
            <w:r>
              <w:rPr>
                <w:rFonts w:ascii="Calibri" w:hAnsi="Calibri"/>
                <w:sz w:val="18"/>
              </w:rPr>
              <w:t>236.000</w:t>
            </w:r>
          </w:p>
        </w:tc>
        <w:tc>
          <w:tcPr>
            <w:tcW w:type="dxa" w:w="1758"/>
          </w:tcPr>
          <w:p>
            <w:r>
              <w:rPr>
                <w:rFonts w:ascii="Calibri" w:hAnsi="Calibri"/>
                <w:sz w:val="18"/>
              </w:rPr>
              <w:t>18,4</w:t>
            </w:r>
          </w:p>
        </w:tc>
        <w:tc>
          <w:tcPr>
            <w:tcW w:type="dxa" w:w="1758"/>
          </w:tcPr>
          <w:p>
            <w:r>
              <w:rPr>
                <w:rFonts w:ascii="Calibri" w:hAnsi="Calibri"/>
                <w:sz w:val="18"/>
              </w:rPr>
              <w:t>43.424,00</w:t>
            </w:r>
          </w:p>
        </w:tc>
      </w:tr>
      <w:tr>
        <w:tc>
          <w:tcPr>
            <w:tcW w:type="dxa" w:w="1758"/>
          </w:tcPr>
          <w:p>
            <w:r>
              <w:rPr>
                <w:rFonts w:ascii="Calibri" w:hAnsi="Calibri"/>
                <w:sz w:val="18"/>
              </w:rPr>
              <w:t>Würtl-Leasing GmbH</w:t>
            </w:r>
          </w:p>
        </w:tc>
        <w:tc>
          <w:tcPr>
            <w:tcW w:type="dxa" w:w="1758"/>
          </w:tcPr>
          <w:p>
            <w:r>
              <w:rPr>
                <w:rFonts w:ascii="Calibri" w:hAnsi="Calibri"/>
                <w:sz w:val="18"/>
              </w:rPr>
              <w:t>22.800</w:t>
            </w:r>
          </w:p>
        </w:tc>
        <w:tc>
          <w:tcPr>
            <w:tcW w:type="dxa" w:w="1758"/>
          </w:tcPr>
          <w:p>
            <w:r>
              <w:rPr>
                <w:rFonts w:ascii="Calibri" w:hAnsi="Calibri"/>
                <w:sz w:val="18"/>
              </w:rPr>
              <w:t>11.200</w:t>
            </w:r>
          </w:p>
        </w:tc>
        <w:tc>
          <w:tcPr>
            <w:tcW w:type="dxa" w:w="1758"/>
          </w:tcPr>
          <w:p>
            <w:r>
              <w:rPr>
                <w:rFonts w:ascii="Calibri" w:hAnsi="Calibri"/>
                <w:sz w:val="18"/>
              </w:rPr>
              <w:t>18,4</w:t>
            </w:r>
          </w:p>
        </w:tc>
        <w:tc>
          <w:tcPr>
            <w:tcW w:type="dxa" w:w="1758"/>
          </w:tcPr>
          <w:p>
            <w:r>
              <w:rPr>
                <w:rFonts w:ascii="Calibri" w:hAnsi="Calibri"/>
                <w:sz w:val="18"/>
              </w:rPr>
              <w:t>2.060,80</w:t>
            </w:r>
          </w:p>
        </w:tc>
      </w:tr>
      <w:tr>
        <w:tc>
          <w:tcPr>
            <w:tcW w:type="dxa" w:w="1758"/>
          </w:tcPr>
          <w:p>
            <w:r>
              <w:rPr>
                <w:rFonts w:ascii="Calibri" w:hAnsi="Calibri"/>
                <w:sz w:val="18"/>
              </w:rPr>
              <w:t>Tim Brauer (nachrangig § 39)</w:t>
            </w:r>
          </w:p>
        </w:tc>
        <w:tc>
          <w:tcPr>
            <w:tcW w:type="dxa" w:w="1758"/>
          </w:tcPr>
          <w:p>
            <w:r>
              <w:rPr>
                <w:rFonts w:ascii="Calibri" w:hAnsi="Calibri"/>
                <w:sz w:val="18"/>
              </w:rPr>
              <w:t>120.000</w:t>
            </w:r>
          </w:p>
        </w:tc>
        <w:tc>
          <w:tcPr>
            <w:tcW w:type="dxa" w:w="1758"/>
          </w:tcPr>
          <w:p>
            <w:r>
              <w:rPr>
                <w:rFonts w:ascii="Calibri" w:hAnsi="Calibri"/>
                <w:sz w:val="18"/>
              </w:rPr>
              <w:t>120.000</w:t>
            </w:r>
          </w:p>
        </w:tc>
        <w:tc>
          <w:tcPr>
            <w:tcW w:type="dxa" w:w="1758"/>
          </w:tcPr>
          <w:p>
            <w:r>
              <w:rPr>
                <w:rFonts w:ascii="Calibri" w:hAnsi="Calibri"/>
                <w:sz w:val="18"/>
              </w:rPr>
              <w:t>0</w:t>
            </w:r>
          </w:p>
        </w:tc>
        <w:tc>
          <w:tcPr>
            <w:tcW w:type="dxa" w:w="1758"/>
          </w:tcPr>
          <w:p>
            <w:r>
              <w:rPr>
                <w:rFonts w:ascii="Calibri" w:hAnsi="Calibri"/>
                <w:sz w:val="18"/>
              </w:rPr>
              <w:t>0,00</w:t>
            </w:r>
          </w:p>
        </w:tc>
      </w:tr>
    </w:tbl>
    <w:p/>
    <w:p>
      <w:pPr>
        <w:jc w:val="left"/>
      </w:pPr>
      <w:r>
        <w:rPr>
          <w:rFonts w:ascii="Calibri" w:hAnsi="Calibri"/>
          <w:b/>
          <w:sz w:val="24"/>
        </w:rPr>
        <w:t>IV. Abschlusserklärung</w:t>
      </w:r>
    </w:p>
    <w:p>
      <w:pPr>
        <w:jc w:val="both"/>
      </w:pPr>
      <w:r>
        <w:rPr>
          <w:rFonts w:ascii="Calibri" w:hAnsi="Calibri"/>
          <w:b w:val="0"/>
          <w:sz w:val="22"/>
        </w:rPr>
        <w:t>Die Insolvenzverwalterin erklärt, dass die Schlussrechnung vollständig und nach bestem Wissen erstellt ist. Sämtliche Einnahmen und Ausgaben sind durch Belege dokumentiert. Die Möbelwerk Havelberg GmbH ist nach Aufhebung des Verfahrens von Amts wegen aufgelöst. Die Löschung aus dem Handelsregister wurde beantragt. Eine Nachtragsverteilung aus ausstehenden Steuerveranlagungen wird nach Bestandskraft der Bescheide gesondert beantragt.</w:t>
      </w:r>
    </w:p>
    <w:p/>
    <w:p>
      <w:pPr>
        <w:jc w:val="both"/>
      </w:pPr>
      <w:r>
        <w:rPr>
          <w:rFonts w:ascii="Calibri" w:hAnsi="Calibri"/>
          <w:b w:val="0"/>
          <w:sz w:val="22"/>
        </w:rPr>
        <w:t>Mit freundlichen Grüßen</w:t>
      </w:r>
    </w:p>
    <w:p/>
    <w:p>
      <w:pPr>
        <w:jc w:val="both"/>
      </w:pPr>
      <w:r>
        <w:rPr>
          <w:rFonts w:ascii="Calibri" w:hAnsi="Calibri"/>
          <w:b w:val="0"/>
          <w:sz w:val="22"/>
        </w:rPr>
        <w:t>_____________________________</w:t>
      </w:r>
    </w:p>
    <w:p>
      <w:pPr>
        <w:jc w:val="both"/>
      </w:pPr>
      <w:r>
        <w:rPr>
          <w:rFonts w:ascii="Calibri" w:hAnsi="Calibri"/>
          <w:b/>
          <w:sz w:val="22"/>
        </w:rPr>
        <w:t>Dr. Nora Westphal</w:t>
      </w:r>
    </w:p>
    <w:p>
      <w:pPr>
        <w:jc w:val="both"/>
      </w:pPr>
      <w:r>
        <w:rPr>
          <w:rFonts w:ascii="Calibri" w:hAnsi="Calibri"/>
          <w:b w:val="0"/>
          <w:sz w:val="22"/>
        </w:rPr>
        <w:t>Insolvenzverwalterin</w:t>
      </w:r>
    </w:p>
    <w:sectPr w:rsidR="00FC693F" w:rsidRPr="0006063C" w:rsidSect="00034616">
      <w:headerReference w:type="default" r:id="rId9"/>
      <w:pgSz w:w="11906" w:h="16838"/>
      <w:pgMar w:top="1417" w:right="141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color w:val="787878"/>
        <w:sz w:val="18"/>
      </w:rPr>
      <w:t>Az. 7 IN 41/26 | Schlussbericht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