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right"/>
      </w:pPr>
      <w:r>
        <w:rPr>
          <w:rFonts w:ascii="Calibri" w:hAnsi="Calibri"/>
          <w:sz w:val="22"/>
        </w:rPr>
        <w:t>Magdeburg, 05. September 2026</w:t>
      </w:r>
    </w:p>
    <w:p/>
    <w:p>
      <w:r>
        <w:rPr>
          <w:rFonts w:ascii="Calibri" w:hAnsi="Calibri"/>
          <w:sz w:val="20"/>
        </w:rPr>
        <w:t>Dr. Nora Westphal</w:t>
      </w:r>
    </w:p>
    <w:p>
      <w:r>
        <w:rPr>
          <w:rFonts w:ascii="Calibri" w:hAnsi="Calibri"/>
          <w:sz w:val="20"/>
        </w:rPr>
        <w:t>Rechtsanwältin | Insolvenzverwalterin</w:t>
      </w:r>
    </w:p>
    <w:p>
      <w:r>
        <w:rPr>
          <w:rFonts w:ascii="Calibri" w:hAnsi="Calibri"/>
          <w:sz w:val="20"/>
        </w:rPr>
        <w:t>Kurfürstenallee 88, 39104 Magdeburg</w:t>
      </w:r>
    </w:p>
    <w:p>
      <w:r>
        <w:rPr>
          <w:rFonts w:ascii="Calibri" w:hAnsi="Calibri"/>
          <w:sz w:val="20"/>
        </w:rPr>
        <w:t>Tel. 0391 / 88 44 100</w:t>
      </w:r>
    </w:p>
    <w:p/>
    <w:p>
      <w:pPr>
        <w:jc w:val="both"/>
      </w:pPr>
      <w:r>
        <w:rPr>
          <w:rFonts w:ascii="Calibri" w:hAnsi="Calibri"/>
          <w:b w:val="0"/>
          <w:sz w:val="22"/>
        </w:rPr>
        <w:t>An das</w:t>
      </w:r>
    </w:p>
    <w:p>
      <w:pPr>
        <w:jc w:val="both"/>
      </w:pPr>
      <w:r>
        <w:rPr>
          <w:rFonts w:ascii="Calibri" w:hAnsi="Calibri"/>
          <w:b/>
          <w:sz w:val="22"/>
        </w:rPr>
        <w:t>Amtsgericht Stendal – Insolvenzgericht –</w:t>
      </w:r>
    </w:p>
    <w:p>
      <w:pPr>
        <w:jc w:val="both"/>
      </w:pPr>
      <w:r>
        <w:rPr>
          <w:rFonts w:ascii="Calibri" w:hAnsi="Calibri"/>
          <w:b w:val="0"/>
          <w:sz w:val="22"/>
        </w:rPr>
        <w:t>Hospitalstraße 4</w:t>
      </w:r>
    </w:p>
    <w:p>
      <w:pPr>
        <w:jc w:val="both"/>
      </w:pPr>
      <w:r>
        <w:rPr>
          <w:rFonts w:ascii="Calibri" w:hAnsi="Calibri"/>
          <w:b w:val="0"/>
          <w:sz w:val="22"/>
        </w:rPr>
        <w:t>39576 Stendal</w:t>
      </w:r>
    </w:p>
    <w:p/>
    <w:p>
      <w:r>
        <w:rPr>
          <w:rFonts w:ascii="Calibri" w:hAnsi="Calibri"/>
          <w:b/>
          <w:sz w:val="22"/>
        </w:rPr>
        <w:t>Aktenzeichen: 7 IN 41/26</w:t>
      </w:r>
    </w:p>
    <w:p/>
    <w:p>
      <w:pPr>
        <w:jc w:val="left"/>
      </w:pPr>
      <w:r>
        <w:rPr>
          <w:rFonts w:ascii="Calibri" w:hAnsi="Calibri"/>
          <w:b/>
          <w:sz w:val="28"/>
        </w:rPr>
        <w:t>Bericht der Insolvenzverwalterin zum Berichts- und Prüfungstermin</w:t>
      </w:r>
    </w:p>
    <w:p>
      <w:pPr>
        <w:jc w:val="left"/>
      </w:pPr>
      <w:r>
        <w:rPr>
          <w:rFonts w:ascii="Calibri" w:hAnsi="Calibri"/>
          <w:b/>
          <w:sz w:val="24"/>
        </w:rPr>
        <w:t>14. September 2026, 10:00 Uhr, Saal 12</w:t>
      </w:r>
    </w:p>
    <w:p/>
    <w:p>
      <w:pPr>
        <w:jc w:val="both"/>
      </w:pPr>
      <w:r>
        <w:rPr>
          <w:rFonts w:ascii="Calibri" w:hAnsi="Calibri"/>
          <w:b w:val="0"/>
          <w:sz w:val="22"/>
        </w:rPr>
        <w:t>Sehr geehrte Damen und Herren,</w:t>
      </w:r>
    </w:p>
    <w:p/>
    <w:p>
      <w:pPr>
        <w:jc w:val="both"/>
      </w:pPr>
      <w:r>
        <w:rPr>
          <w:rFonts w:ascii="Calibri" w:hAnsi="Calibri"/>
          <w:b w:val="0"/>
          <w:sz w:val="22"/>
        </w:rPr>
        <w:t>Die Insolvenzverwalterin erstattet gemäß § 156 InsO nachstehend Bericht über den Verfahrensstand und die wirtschaftliche Lage der Schuldnerin sowie über die Maßnahmen zur Massesicherung und -verwertung.</w:t>
      </w:r>
    </w:p>
    <w:p/>
    <w:p>
      <w:pPr>
        <w:jc w:val="left"/>
      </w:pPr>
      <w:r>
        <w:rPr>
          <w:rFonts w:ascii="Calibri" w:hAnsi="Calibri"/>
          <w:b/>
          <w:sz w:val="24"/>
        </w:rPr>
        <w:t>I. Verfahrenschronologie</w:t>
      </w:r>
    </w:p>
    <w:tbl>
      <w:tblPr>
        <w:tblStyle w:val="TableGrid"/>
        <w:tblW w:type="auto" w:w="0"/>
        <w:tblLook w:firstColumn="1" w:firstRow="1" w:lastColumn="0" w:lastRow="0" w:noHBand="0" w:noVBand="1" w:val="04A0"/>
      </w:tblPr>
      <w:tblGrid>
        <w:gridCol w:w="4394"/>
        <w:gridCol w:w="4394"/>
      </w:tblGrid>
      <w:tr>
        <w:tc>
          <w:tcPr>
            <w:tcW w:type="dxa" w:w="4394"/>
            <w:shd w:val="clear" w:color="auto" w:fill="1F4E79"/>
          </w:tcPr>
          <w:p>
            <w:r>
              <w:rPr>
                <w:rFonts w:ascii="Calibri" w:hAnsi="Calibri"/>
                <w:b/>
                <w:color w:val="FFFFFF"/>
                <w:sz w:val="20"/>
              </w:rPr>
              <w:t>Ereignis</w:t>
            </w:r>
          </w:p>
        </w:tc>
        <w:tc>
          <w:tcPr>
            <w:tcW w:type="dxa" w:w="4394"/>
            <w:shd w:val="clear" w:color="auto" w:fill="1F4E79"/>
          </w:tcPr>
          <w:p>
            <w:r>
              <w:rPr>
                <w:rFonts w:ascii="Calibri" w:hAnsi="Calibri"/>
                <w:b/>
                <w:color w:val="FFFFFF"/>
                <w:sz w:val="20"/>
              </w:rPr>
              <w:t>Datum</w:t>
            </w:r>
          </w:p>
        </w:tc>
      </w:tr>
      <w:tr>
        <w:tc>
          <w:tcPr>
            <w:tcW w:type="dxa" w:w="4394"/>
          </w:tcPr>
          <w:p>
            <w:r>
              <w:rPr>
                <w:rFonts w:ascii="Calibri" w:hAnsi="Calibri"/>
                <w:sz w:val="20"/>
              </w:rPr>
              <w:t>Gläubigerantrag Furnier Nord GmbH</w:t>
            </w:r>
          </w:p>
        </w:tc>
        <w:tc>
          <w:tcPr>
            <w:tcW w:type="dxa" w:w="4394"/>
          </w:tcPr>
          <w:p>
            <w:r>
              <w:rPr>
                <w:rFonts w:ascii="Calibri" w:hAnsi="Calibri"/>
                <w:sz w:val="20"/>
              </w:rPr>
              <w:t>04.05.2026</w:t>
            </w:r>
          </w:p>
        </w:tc>
      </w:tr>
      <w:tr>
        <w:tc>
          <w:tcPr>
            <w:tcW w:type="dxa" w:w="4394"/>
          </w:tcPr>
          <w:p>
            <w:r>
              <w:rPr>
                <w:rFonts w:ascii="Calibri" w:hAnsi="Calibri"/>
                <w:sz w:val="20"/>
              </w:rPr>
              <w:t>Bestellung vorläufige IV, Verfügungsverbot</w:t>
            </w:r>
          </w:p>
        </w:tc>
        <w:tc>
          <w:tcPr>
            <w:tcW w:type="dxa" w:w="4394"/>
          </w:tcPr>
          <w:p>
            <w:r>
              <w:rPr>
                <w:rFonts w:ascii="Calibri" w:hAnsi="Calibri"/>
                <w:sz w:val="20"/>
              </w:rPr>
              <w:t>06.05.2026</w:t>
            </w:r>
          </w:p>
        </w:tc>
      </w:tr>
      <w:tr>
        <w:tc>
          <w:tcPr>
            <w:tcW w:type="dxa" w:w="4394"/>
          </w:tcPr>
          <w:p>
            <w:r>
              <w:rPr>
                <w:rFonts w:ascii="Calibri" w:hAnsi="Calibri"/>
                <w:sz w:val="20"/>
              </w:rPr>
              <w:t>Kassensturz und Betriebsfortführungsentscheidung</w:t>
            </w:r>
          </w:p>
        </w:tc>
        <w:tc>
          <w:tcPr>
            <w:tcW w:type="dxa" w:w="4394"/>
          </w:tcPr>
          <w:p>
            <w:r>
              <w:rPr>
                <w:rFonts w:ascii="Calibri" w:hAnsi="Calibri"/>
                <w:sz w:val="20"/>
              </w:rPr>
              <w:t>07.–09.05.2026</w:t>
            </w:r>
          </w:p>
        </w:tc>
      </w:tr>
      <w:tr>
        <w:tc>
          <w:tcPr>
            <w:tcW w:type="dxa" w:w="4394"/>
          </w:tcPr>
          <w:p>
            <w:r>
              <w:rPr>
                <w:rFonts w:ascii="Calibri" w:hAnsi="Calibri"/>
                <w:sz w:val="20"/>
              </w:rPr>
              <w:t>Insolvenzgeldvorfinanzierung bewilligt</w:t>
            </w:r>
          </w:p>
        </w:tc>
        <w:tc>
          <w:tcPr>
            <w:tcW w:type="dxa" w:w="4394"/>
          </w:tcPr>
          <w:p>
            <w:r>
              <w:rPr>
                <w:rFonts w:ascii="Calibri" w:hAnsi="Calibri"/>
                <w:sz w:val="20"/>
              </w:rPr>
              <w:t>08.05.2026</w:t>
            </w:r>
          </w:p>
        </w:tc>
      </w:tr>
      <w:tr>
        <w:tc>
          <w:tcPr>
            <w:tcW w:type="dxa" w:w="4394"/>
          </w:tcPr>
          <w:p>
            <w:r>
              <w:rPr>
                <w:rFonts w:ascii="Calibri" w:hAnsi="Calibri"/>
                <w:sz w:val="20"/>
              </w:rPr>
              <w:t>Ende der Betriebsfortführung</w:t>
            </w:r>
          </w:p>
        </w:tc>
        <w:tc>
          <w:tcPr>
            <w:tcW w:type="dxa" w:w="4394"/>
          </w:tcPr>
          <w:p>
            <w:r>
              <w:rPr>
                <w:rFonts w:ascii="Calibri" w:hAnsi="Calibri"/>
                <w:sz w:val="20"/>
              </w:rPr>
              <w:t>20.05.2026</w:t>
            </w:r>
          </w:p>
        </w:tc>
      </w:tr>
      <w:tr>
        <w:tc>
          <w:tcPr>
            <w:tcW w:type="dxa" w:w="4394"/>
          </w:tcPr>
          <w:p>
            <w:r>
              <w:rPr>
                <w:rFonts w:ascii="Calibri" w:hAnsi="Calibri"/>
                <w:sz w:val="20"/>
              </w:rPr>
              <w:t>Eröffnung Insolvenzverfahren</w:t>
            </w:r>
          </w:p>
        </w:tc>
        <w:tc>
          <w:tcPr>
            <w:tcW w:type="dxa" w:w="4394"/>
          </w:tcPr>
          <w:p>
            <w:r>
              <w:rPr>
                <w:rFonts w:ascii="Calibri" w:hAnsi="Calibri"/>
                <w:sz w:val="20"/>
              </w:rPr>
              <w:t>12.06.2026</w:t>
            </w:r>
          </w:p>
        </w:tc>
      </w:tr>
      <w:tr>
        <w:tc>
          <w:tcPr>
            <w:tcW w:type="dxa" w:w="4394"/>
          </w:tcPr>
          <w:p>
            <w:r>
              <w:rPr>
                <w:rFonts w:ascii="Calibri" w:hAnsi="Calibri"/>
                <w:sz w:val="20"/>
              </w:rPr>
              <w:t>Konstituierende Sitzung Gläubigerausschuss</w:t>
            </w:r>
          </w:p>
        </w:tc>
        <w:tc>
          <w:tcPr>
            <w:tcW w:type="dxa" w:w="4394"/>
          </w:tcPr>
          <w:p>
            <w:r>
              <w:rPr>
                <w:rFonts w:ascii="Calibri" w:hAnsi="Calibri"/>
                <w:sz w:val="20"/>
              </w:rPr>
              <w:t>18.06.2026</w:t>
            </w:r>
          </w:p>
        </w:tc>
      </w:tr>
      <w:tr>
        <w:tc>
          <w:tcPr>
            <w:tcW w:type="dxa" w:w="4394"/>
          </w:tcPr>
          <w:p>
            <w:r>
              <w:rPr>
                <w:rFonts w:ascii="Calibri" w:hAnsi="Calibri"/>
                <w:sz w:val="20"/>
              </w:rPr>
              <w:t>Sitzung Gläubigerausschuss: Verwertungsentscheidungen</w:t>
            </w:r>
          </w:p>
        </w:tc>
        <w:tc>
          <w:tcPr>
            <w:tcW w:type="dxa" w:w="4394"/>
          </w:tcPr>
          <w:p>
            <w:r>
              <w:rPr>
                <w:rFonts w:ascii="Calibri" w:hAnsi="Calibri"/>
                <w:sz w:val="20"/>
              </w:rPr>
              <w:t>15.07.2026</w:t>
            </w:r>
          </w:p>
        </w:tc>
      </w:tr>
      <w:tr>
        <w:tc>
          <w:tcPr>
            <w:tcW w:type="dxa" w:w="4394"/>
          </w:tcPr>
          <w:p>
            <w:r>
              <w:rPr>
                <w:rFonts w:ascii="Calibri" w:hAnsi="Calibri"/>
                <w:sz w:val="20"/>
              </w:rPr>
              <w:t>Genehmigung D&amp;O-Vergleich 115.000 EUR</w:t>
            </w:r>
          </w:p>
        </w:tc>
        <w:tc>
          <w:tcPr>
            <w:tcW w:type="dxa" w:w="4394"/>
          </w:tcPr>
          <w:p>
            <w:r>
              <w:rPr>
                <w:rFonts w:ascii="Calibri" w:hAnsi="Calibri"/>
                <w:sz w:val="20"/>
              </w:rPr>
              <w:t>15.07.2026</w:t>
            </w:r>
          </w:p>
        </w:tc>
      </w:tr>
      <w:tr>
        <w:tc>
          <w:tcPr>
            <w:tcW w:type="dxa" w:w="4394"/>
          </w:tcPr>
          <w:p>
            <w:r>
              <w:rPr>
                <w:rFonts w:ascii="Calibri" w:hAnsi="Calibri"/>
                <w:sz w:val="20"/>
              </w:rPr>
              <w:t>Maschinenverwertung abgeschlossen (EML GmbH, 237.000 EUR)</w:t>
            </w:r>
          </w:p>
        </w:tc>
        <w:tc>
          <w:tcPr>
            <w:tcW w:type="dxa" w:w="4394"/>
          </w:tcPr>
          <w:p>
            <w:r>
              <w:rPr>
                <w:rFonts w:ascii="Calibri" w:hAnsi="Calibri"/>
                <w:sz w:val="20"/>
              </w:rPr>
              <w:t>31.07.2026</w:t>
            </w:r>
          </w:p>
        </w:tc>
      </w:tr>
      <w:tr>
        <w:tc>
          <w:tcPr>
            <w:tcW w:type="dxa" w:w="4394"/>
          </w:tcPr>
          <w:p>
            <w:r>
              <w:rPr>
                <w:rFonts w:ascii="Calibri" w:hAnsi="Calibri"/>
                <w:sz w:val="20"/>
              </w:rPr>
              <w:t>Anfechtungsschreiben versandt (4 Fälle)</w:t>
            </w:r>
          </w:p>
        </w:tc>
        <w:tc>
          <w:tcPr>
            <w:tcW w:type="dxa" w:w="4394"/>
          </w:tcPr>
          <w:p>
            <w:r>
              <w:rPr>
                <w:rFonts w:ascii="Calibri" w:hAnsi="Calibri"/>
                <w:sz w:val="20"/>
              </w:rPr>
              <w:t>30.08.2026</w:t>
            </w:r>
          </w:p>
        </w:tc>
      </w:tr>
      <w:tr>
        <w:tc>
          <w:tcPr>
            <w:tcW w:type="dxa" w:w="4394"/>
          </w:tcPr>
          <w:p>
            <w:r>
              <w:rPr>
                <w:rFonts w:ascii="Calibri" w:hAnsi="Calibri"/>
                <w:sz w:val="20"/>
              </w:rPr>
              <w:t>Anmeldefrist</w:t>
            </w:r>
          </w:p>
        </w:tc>
        <w:tc>
          <w:tcPr>
            <w:tcW w:type="dxa" w:w="4394"/>
          </w:tcPr>
          <w:p>
            <w:r>
              <w:rPr>
                <w:rFonts w:ascii="Calibri" w:hAnsi="Calibri"/>
                <w:sz w:val="20"/>
              </w:rPr>
              <w:t>01.08.2026</w:t>
            </w:r>
          </w:p>
        </w:tc>
      </w:tr>
      <w:tr>
        <w:tc>
          <w:tcPr>
            <w:tcW w:type="dxa" w:w="4394"/>
          </w:tcPr>
          <w:p>
            <w:r>
              <w:rPr>
                <w:rFonts w:ascii="Calibri" w:hAnsi="Calibri"/>
                <w:sz w:val="20"/>
              </w:rPr>
              <w:t>Berichts- und Prüfungstermin</w:t>
            </w:r>
          </w:p>
        </w:tc>
        <w:tc>
          <w:tcPr>
            <w:tcW w:type="dxa" w:w="4394"/>
          </w:tcPr>
          <w:p>
            <w:r>
              <w:rPr>
                <w:rFonts w:ascii="Calibri" w:hAnsi="Calibri"/>
                <w:sz w:val="20"/>
              </w:rPr>
              <w:t>14.09.2026</w:t>
            </w:r>
          </w:p>
        </w:tc>
      </w:tr>
    </w:tbl>
    <w:p/>
    <w:p>
      <w:pPr>
        <w:jc w:val="left"/>
      </w:pPr>
      <w:r>
        <w:rPr>
          <w:rFonts w:ascii="Calibri" w:hAnsi="Calibri"/>
          <w:b/>
          <w:sz w:val="24"/>
        </w:rPr>
        <w:t>II. Insolvenzgründe</w:t>
      </w:r>
    </w:p>
    <w:p>
      <w:pPr>
        <w:jc w:val="both"/>
      </w:pPr>
      <w:r>
        <w:rPr>
          <w:rFonts w:ascii="Calibri" w:hAnsi="Calibri"/>
          <w:b w:val="0"/>
          <w:sz w:val="22"/>
        </w:rPr>
        <w:t>Zahlungsunfähigkeit im Sinne des § 17 InsO ist spätestens am 22.03.2026 eingetreten (Rücklastschrift Furnier Nord GmbH; Deckungslücke &gt; 10 % der fälligen Verbindlichkeiten). Überschuldung im Sinne des § 19 InsO ist aufgrund negativer Fortführungsprognose (kein belastbares Sanierungskonzept) und negativem bereinigtem Eigenkapital per 31.12.2025 ebenfalls anzunehmen. Eigenverwaltungswunsch des Schäftsführers wurde geprüft und mangels Finanzplan und Sanierungskonzept abgelehnt.</w:t>
      </w:r>
    </w:p>
    <w:p/>
    <w:p>
      <w:pPr>
        <w:jc w:val="left"/>
      </w:pPr>
      <w:r>
        <w:rPr>
          <w:rFonts w:ascii="Calibri" w:hAnsi="Calibri"/>
          <w:b/>
          <w:sz w:val="24"/>
        </w:rPr>
        <w:t>III. Masserealisierung (Stand 05.09.2026)</w:t>
      </w:r>
    </w:p>
    <w:tbl>
      <w:tblPr>
        <w:tblStyle w:val="TableGrid"/>
        <w:tblW w:type="auto" w:w="0"/>
        <w:tblLook w:firstColumn="1" w:firstRow="1" w:lastColumn="0" w:lastRow="0" w:noHBand="0" w:noVBand="1" w:val="04A0"/>
      </w:tblPr>
      <w:tblGrid>
        <w:gridCol w:w="2929"/>
        <w:gridCol w:w="2929"/>
        <w:gridCol w:w="2929"/>
      </w:tblGrid>
      <w:tr>
        <w:tc>
          <w:tcPr>
            <w:tcW w:type="dxa" w:w="2929"/>
            <w:shd w:val="clear" w:color="auto" w:fill="2E75B6"/>
          </w:tcPr>
          <w:p>
            <w:r>
              <w:rPr>
                <w:rFonts w:ascii="Calibri" w:hAnsi="Calibri"/>
                <w:b/>
                <w:color w:val="FFFFFF"/>
                <w:sz w:val="20"/>
              </w:rPr>
              <w:t>Position</w:t>
            </w:r>
          </w:p>
        </w:tc>
        <w:tc>
          <w:tcPr>
            <w:tcW w:type="dxa" w:w="2929"/>
            <w:shd w:val="clear" w:color="auto" w:fill="2E75B6"/>
          </w:tcPr>
          <w:p>
            <w:r>
              <w:rPr>
                <w:rFonts w:ascii="Calibri" w:hAnsi="Calibri"/>
                <w:b/>
                <w:color w:val="FFFFFF"/>
                <w:sz w:val="20"/>
              </w:rPr>
              <w:t>Betrag (EUR)</w:t>
            </w:r>
          </w:p>
        </w:tc>
        <w:tc>
          <w:tcPr>
            <w:tcW w:type="dxa" w:w="2929"/>
            <w:shd w:val="clear" w:color="auto" w:fill="2E75B6"/>
          </w:tcPr>
          <w:p>
            <w:r>
              <w:rPr>
                <w:rFonts w:ascii="Calibri" w:hAnsi="Calibri"/>
                <w:b/>
                <w:color w:val="FFFFFF"/>
                <w:sz w:val="20"/>
              </w:rPr>
              <w:t>Status</w:t>
            </w:r>
          </w:p>
        </w:tc>
      </w:tr>
      <w:tr>
        <w:tc>
          <w:tcPr>
            <w:tcW w:type="dxa" w:w="2929"/>
          </w:tcPr>
          <w:p>
            <w:r>
              <w:rPr>
                <w:rFonts w:ascii="Calibri" w:hAnsi="Calibri"/>
                <w:sz w:val="20"/>
              </w:rPr>
              <w:t>Bankguthaben bei Eröffnung</w:t>
            </w:r>
          </w:p>
        </w:tc>
        <w:tc>
          <w:tcPr>
            <w:tcW w:type="dxa" w:w="2929"/>
          </w:tcPr>
          <w:p>
            <w:r>
              <w:rPr>
                <w:rFonts w:ascii="Calibri" w:hAnsi="Calibri"/>
                <w:sz w:val="20"/>
              </w:rPr>
              <w:t>20.890,00</w:t>
            </w:r>
          </w:p>
        </w:tc>
        <w:tc>
          <w:tcPr>
            <w:tcW w:type="dxa" w:w="2929"/>
          </w:tcPr>
          <w:p>
            <w:r>
              <w:rPr>
                <w:rFonts w:ascii="Calibri" w:hAnsi="Calibri"/>
                <w:sz w:val="20"/>
              </w:rPr>
              <w:t>eingegangen</w:t>
            </w:r>
          </w:p>
        </w:tc>
      </w:tr>
      <w:tr>
        <w:tc>
          <w:tcPr>
            <w:tcW w:type="dxa" w:w="2929"/>
          </w:tcPr>
          <w:p>
            <w:r>
              <w:rPr>
                <w:rFonts w:ascii="Calibri" w:hAnsi="Calibri"/>
                <w:sz w:val="20"/>
              </w:rPr>
              <w:t>Fortführungserlöse (netto)</w:t>
            </w:r>
          </w:p>
        </w:tc>
        <w:tc>
          <w:tcPr>
            <w:tcW w:type="dxa" w:w="2929"/>
          </w:tcPr>
          <w:p>
            <w:r>
              <w:rPr>
                <w:rFonts w:ascii="Calibri" w:hAnsi="Calibri"/>
                <w:sz w:val="20"/>
              </w:rPr>
              <w:t>47.700,00</w:t>
            </w:r>
          </w:p>
        </w:tc>
        <w:tc>
          <w:tcPr>
            <w:tcW w:type="dxa" w:w="2929"/>
          </w:tcPr>
          <w:p>
            <w:r>
              <w:rPr>
                <w:rFonts w:ascii="Calibri" w:hAnsi="Calibri"/>
                <w:sz w:val="20"/>
              </w:rPr>
              <w:t>eingegangen</w:t>
            </w:r>
          </w:p>
        </w:tc>
      </w:tr>
      <w:tr>
        <w:tc>
          <w:tcPr>
            <w:tcW w:type="dxa" w:w="2929"/>
          </w:tcPr>
          <w:p>
            <w:r>
              <w:rPr>
                <w:rFonts w:ascii="Calibri" w:hAnsi="Calibri"/>
                <w:sz w:val="20"/>
              </w:rPr>
              <w:t>Maschinenverwertung EML GmbH</w:t>
            </w:r>
          </w:p>
        </w:tc>
        <w:tc>
          <w:tcPr>
            <w:tcW w:type="dxa" w:w="2929"/>
          </w:tcPr>
          <w:p>
            <w:r>
              <w:rPr>
                <w:rFonts w:ascii="Calibri" w:hAnsi="Calibri"/>
                <w:sz w:val="20"/>
              </w:rPr>
              <w:t>237.000,00</w:t>
            </w:r>
          </w:p>
        </w:tc>
        <w:tc>
          <w:tcPr>
            <w:tcW w:type="dxa" w:w="2929"/>
          </w:tcPr>
          <w:p>
            <w:r>
              <w:rPr>
                <w:rFonts w:ascii="Calibri" w:hAnsi="Calibri"/>
                <w:sz w:val="20"/>
              </w:rPr>
              <w:t>eingegangen 31.07.</w:t>
            </w:r>
          </w:p>
        </w:tc>
      </w:tr>
      <w:tr>
        <w:tc>
          <w:tcPr>
            <w:tcW w:type="dxa" w:w="2929"/>
          </w:tcPr>
          <w:p>
            <w:r>
              <w:rPr>
                <w:rFonts w:ascii="Calibri" w:hAnsi="Calibri"/>
                <w:sz w:val="20"/>
              </w:rPr>
              <w:t>Büro/IT Online-Auktion</w:t>
            </w:r>
          </w:p>
        </w:tc>
        <w:tc>
          <w:tcPr>
            <w:tcW w:type="dxa" w:w="2929"/>
          </w:tcPr>
          <w:p>
            <w:r>
              <w:rPr>
                <w:rFonts w:ascii="Calibri" w:hAnsi="Calibri"/>
                <w:sz w:val="20"/>
              </w:rPr>
              <w:t>18.400,00</w:t>
            </w:r>
          </w:p>
        </w:tc>
        <w:tc>
          <w:tcPr>
            <w:tcW w:type="dxa" w:w="2929"/>
          </w:tcPr>
          <w:p>
            <w:r>
              <w:rPr>
                <w:rFonts w:ascii="Calibri" w:hAnsi="Calibri"/>
                <w:sz w:val="20"/>
              </w:rPr>
              <w:t>eingegangen</w:t>
            </w:r>
          </w:p>
        </w:tc>
      </w:tr>
      <w:tr>
        <w:tc>
          <w:tcPr>
            <w:tcW w:type="dxa" w:w="2929"/>
          </w:tcPr>
          <w:p>
            <w:r>
              <w:rPr>
                <w:rFonts w:ascii="Calibri" w:hAnsi="Calibri"/>
                <w:sz w:val="20"/>
              </w:rPr>
              <w:t>Lackierkabine Auktionshaus</w:t>
            </w:r>
          </w:p>
        </w:tc>
        <w:tc>
          <w:tcPr>
            <w:tcW w:type="dxa" w:w="2929"/>
          </w:tcPr>
          <w:p>
            <w:r>
              <w:rPr>
                <w:rFonts w:ascii="Calibri" w:hAnsi="Calibri"/>
                <w:sz w:val="20"/>
              </w:rPr>
              <w:t>41.000,00</w:t>
            </w:r>
          </w:p>
        </w:tc>
        <w:tc>
          <w:tcPr>
            <w:tcW w:type="dxa" w:w="2929"/>
          </w:tcPr>
          <w:p>
            <w:r>
              <w:rPr>
                <w:rFonts w:ascii="Calibri" w:hAnsi="Calibri"/>
                <w:sz w:val="20"/>
              </w:rPr>
              <w:t>eingegangen</w:t>
            </w:r>
          </w:p>
        </w:tc>
      </w:tr>
      <w:tr>
        <w:tc>
          <w:tcPr>
            <w:tcW w:type="dxa" w:w="2929"/>
          </w:tcPr>
          <w:p>
            <w:r>
              <w:rPr>
                <w:rFonts w:ascii="Calibri" w:hAnsi="Calibri"/>
                <w:sz w:val="20"/>
              </w:rPr>
              <w:t>Kautionsrückzahlung Halle</w:t>
            </w:r>
          </w:p>
        </w:tc>
        <w:tc>
          <w:tcPr>
            <w:tcW w:type="dxa" w:w="2929"/>
          </w:tcPr>
          <w:p>
            <w:r>
              <w:rPr>
                <w:rFonts w:ascii="Calibri" w:hAnsi="Calibri"/>
                <w:sz w:val="20"/>
              </w:rPr>
              <w:t>12.000,00</w:t>
            </w:r>
          </w:p>
        </w:tc>
        <w:tc>
          <w:tcPr>
            <w:tcW w:type="dxa" w:w="2929"/>
          </w:tcPr>
          <w:p>
            <w:r>
              <w:rPr>
                <w:rFonts w:ascii="Calibri" w:hAnsi="Calibri"/>
                <w:sz w:val="20"/>
              </w:rPr>
              <w:t>erwartet</w:t>
            </w:r>
          </w:p>
        </w:tc>
      </w:tr>
      <w:tr>
        <w:tc>
          <w:tcPr>
            <w:tcW w:type="dxa" w:w="2929"/>
          </w:tcPr>
          <w:p>
            <w:r>
              <w:rPr>
                <w:rFonts w:ascii="Calibri" w:hAnsi="Calibri"/>
                <w:sz w:val="20"/>
              </w:rPr>
              <w:t>Kundenforderungen (gesamt)</w:t>
            </w:r>
          </w:p>
        </w:tc>
        <w:tc>
          <w:tcPr>
            <w:tcW w:type="dxa" w:w="2929"/>
          </w:tcPr>
          <w:p>
            <w:r>
              <w:rPr>
                <w:rFonts w:ascii="Calibri" w:hAnsi="Calibri"/>
                <w:sz w:val="20"/>
              </w:rPr>
              <w:t>190.400,00</w:t>
            </w:r>
          </w:p>
        </w:tc>
        <w:tc>
          <w:tcPr>
            <w:tcW w:type="dxa" w:w="2929"/>
          </w:tcPr>
          <w:p>
            <w:r>
              <w:rPr>
                <w:rFonts w:ascii="Calibri" w:hAnsi="Calibri"/>
                <w:sz w:val="20"/>
              </w:rPr>
              <w:t>eingezogen</w:t>
            </w:r>
          </w:p>
        </w:tc>
      </w:tr>
      <w:tr>
        <w:tc>
          <w:tcPr>
            <w:tcW w:type="dxa" w:w="2929"/>
          </w:tcPr>
          <w:p>
            <w:r>
              <w:rPr>
                <w:rFonts w:ascii="Calibri" w:hAnsi="Calibri"/>
                <w:sz w:val="20"/>
              </w:rPr>
              <w:t>EV-Vergleich Prignitz Forst KG</w:t>
            </w:r>
          </w:p>
        </w:tc>
        <w:tc>
          <w:tcPr>
            <w:tcW w:type="dxa" w:w="2929"/>
          </w:tcPr>
          <w:p>
            <w:r>
              <w:rPr>
                <w:rFonts w:ascii="Calibri" w:hAnsi="Calibri"/>
                <w:sz w:val="20"/>
              </w:rPr>
              <w:t>38.000,00</w:t>
            </w:r>
          </w:p>
        </w:tc>
        <w:tc>
          <w:tcPr>
            <w:tcW w:type="dxa" w:w="2929"/>
          </w:tcPr>
          <w:p>
            <w:r>
              <w:rPr>
                <w:rFonts w:ascii="Calibri" w:hAnsi="Calibri"/>
                <w:sz w:val="20"/>
              </w:rPr>
              <w:t>eingegangen</w:t>
            </w:r>
          </w:p>
        </w:tc>
      </w:tr>
      <w:tr>
        <w:tc>
          <w:tcPr>
            <w:tcW w:type="dxa" w:w="2929"/>
          </w:tcPr>
          <w:p>
            <w:r>
              <w:rPr>
                <w:rFonts w:ascii="Calibri" w:hAnsi="Calibri"/>
                <w:sz w:val="20"/>
              </w:rPr>
              <w:t>D&amp;O-Vergleich</w:t>
            </w:r>
          </w:p>
        </w:tc>
        <w:tc>
          <w:tcPr>
            <w:tcW w:type="dxa" w:w="2929"/>
          </w:tcPr>
          <w:p>
            <w:r>
              <w:rPr>
                <w:rFonts w:ascii="Calibri" w:hAnsi="Calibri"/>
                <w:sz w:val="20"/>
              </w:rPr>
              <w:t>115.000,00</w:t>
            </w:r>
          </w:p>
        </w:tc>
        <w:tc>
          <w:tcPr>
            <w:tcW w:type="dxa" w:w="2929"/>
          </w:tcPr>
          <w:p>
            <w:r>
              <w:rPr>
                <w:rFonts w:ascii="Calibri" w:hAnsi="Calibri"/>
                <w:sz w:val="20"/>
              </w:rPr>
              <w:t>unterzeichnet; Zahlung bis 30.09.</w:t>
            </w:r>
          </w:p>
        </w:tc>
      </w:tr>
      <w:tr>
        <w:tc>
          <w:tcPr>
            <w:tcW w:type="dxa" w:w="2929"/>
          </w:tcPr>
          <w:p>
            <w:r>
              <w:rPr>
                <w:rFonts w:ascii="Calibri" w:hAnsi="Calibri"/>
                <w:sz w:val="20"/>
              </w:rPr>
              <w:t>Anfechtungserlöse (erwartet)</w:t>
            </w:r>
          </w:p>
        </w:tc>
        <w:tc>
          <w:tcPr>
            <w:tcW w:type="dxa" w:w="2929"/>
          </w:tcPr>
          <w:p>
            <w:r>
              <w:rPr>
                <w:rFonts w:ascii="Calibri" w:hAnsi="Calibri"/>
                <w:sz w:val="20"/>
              </w:rPr>
              <w:t>41.000,00</w:t>
            </w:r>
          </w:p>
        </w:tc>
        <w:tc>
          <w:tcPr>
            <w:tcW w:type="dxa" w:w="2929"/>
          </w:tcPr>
          <w:p>
            <w:r>
              <w:rPr>
                <w:rFonts w:ascii="Calibri" w:hAnsi="Calibri"/>
                <w:sz w:val="20"/>
              </w:rPr>
              <w:t>Schreiben verschickt; offen</w:t>
            </w:r>
          </w:p>
        </w:tc>
      </w:tr>
      <w:tr>
        <w:tc>
          <w:tcPr>
            <w:tcW w:type="dxa" w:w="2929"/>
          </w:tcPr>
          <w:p>
            <w:r>
              <w:rPr>
                <w:rFonts w:ascii="Calibri" w:hAnsi="Calibri"/>
                <w:sz w:val="20"/>
              </w:rPr>
              <w:t>Steuererstattung 2026 (erwartet)</w:t>
            </w:r>
          </w:p>
        </w:tc>
        <w:tc>
          <w:tcPr>
            <w:tcW w:type="dxa" w:w="2929"/>
          </w:tcPr>
          <w:p>
            <w:r>
              <w:rPr>
                <w:rFonts w:ascii="Calibri" w:hAnsi="Calibri"/>
                <w:sz w:val="20"/>
              </w:rPr>
              <w:t>14.200,00</w:t>
            </w:r>
          </w:p>
        </w:tc>
        <w:tc>
          <w:tcPr>
            <w:tcW w:type="dxa" w:w="2929"/>
          </w:tcPr>
          <w:p>
            <w:r>
              <w:rPr>
                <w:rFonts w:ascii="Calibri" w:hAnsi="Calibri"/>
                <w:sz w:val="20"/>
              </w:rPr>
              <w:t>Veranlagung ausstehend</w:t>
            </w:r>
          </w:p>
        </w:tc>
      </w:tr>
    </w:tbl>
    <w:p/>
    <w:p>
      <w:pPr>
        <w:jc w:val="left"/>
      </w:pPr>
      <w:r>
        <w:rPr>
          <w:rFonts w:ascii="Calibri" w:hAnsi="Calibri"/>
          <w:b/>
          <w:sz w:val="24"/>
        </w:rPr>
        <w:t>IV. Forderungsanmeldungen</w:t>
      </w:r>
    </w:p>
    <w:p>
      <w:pPr>
        <w:jc w:val="both"/>
      </w:pPr>
      <w:r>
        <w:rPr>
          <w:rFonts w:ascii="Calibri" w:hAnsi="Calibri"/>
          <w:b w:val="0"/>
          <w:sz w:val="22"/>
        </w:rPr>
        <w:t>Bis zum Anmeldeschluss (01.08.2026) haben 12 Gläubiger Forderungen in Höhe von insgesamt 1.345.800,00 EUR angemeldet. Davon entfallen 350.000,00 EUR auf Absonderungsrechte der Havelbank eG. Nachrangige Forderungen (§ 39 InsO): 120.000,00 EUR (Gesellschafterdarlehen Tim Brauer). Sämtliche Anmeldungen wurden geprüft; die Prüfungsergebnisse sind in der Tabelle zusammengefasst und den Gläubigern zugestellt.</w:t>
      </w:r>
    </w:p>
    <w:p/>
    <w:p>
      <w:pPr>
        <w:jc w:val="left"/>
      </w:pPr>
      <w:r>
        <w:rPr>
          <w:rFonts w:ascii="Calibri" w:hAnsi="Calibri"/>
          <w:b/>
          <w:sz w:val="24"/>
        </w:rPr>
        <w:t>V. Quotenprognose</w:t>
      </w:r>
    </w:p>
    <w:p>
      <w:pPr>
        <w:jc w:val="both"/>
      </w:pPr>
      <w:r>
        <w:rPr>
          <w:rFonts w:ascii="Calibri" w:hAnsi="Calibri"/>
          <w:b w:val="0"/>
          <w:sz w:val="22"/>
        </w:rPr>
        <w:t>Die prognostizierte Verteilungsmasse für ungesicherte Gläubiger (§ 38 InsO) beträgt nach Abzug aller Masseverbindlichkeiten und Verfahrenskosten ca. 289.790 EUR. Bei festgestellten ungesicherten Forderungen von ca. 862.900 EUR ergibt sich eine voraussichtliche Quote von ca. 18,4 %. Eine Nachtragsverteilung aus Steuererstattungen ist möglich.</w:t>
      </w:r>
    </w:p>
    <w:p/>
    <w:p>
      <w:pPr>
        <w:jc w:val="left"/>
      </w:pPr>
      <w:r>
        <w:rPr>
          <w:rFonts w:ascii="Calibri" w:hAnsi="Calibri"/>
          <w:b/>
          <w:sz w:val="24"/>
        </w:rPr>
        <w:t>VI. Ausblick</w:t>
      </w:r>
    </w:p>
    <w:p>
      <w:pPr>
        <w:jc w:val="both"/>
      </w:pPr>
      <w:r>
        <w:rPr>
          <w:rFonts w:ascii="Calibri" w:hAnsi="Calibri"/>
          <w:b w:val="0"/>
          <w:sz w:val="22"/>
        </w:rPr>
        <w:t>Schlussbericht und Schlussrechnung werden bis 20.01.2027 eingereicht. Der Schlusstermin wird für den 15.02.2027 erbeten. Anfechtungserlöse aus den vier laufenden Fällen werden bis 31.10.2026 erwartet.</w:t>
      </w:r>
    </w:p>
    <w:p/>
    <w:p>
      <w:pPr>
        <w:jc w:val="both"/>
      </w:pPr>
      <w:r>
        <w:rPr>
          <w:rFonts w:ascii="Calibri" w:hAnsi="Calibri"/>
          <w:b w:val="0"/>
          <w:sz w:val="22"/>
        </w:rPr>
        <w:t>Mit freundlichen Grüßen</w:t>
      </w:r>
    </w:p>
    <w:p/>
    <w:p>
      <w:pPr>
        <w:jc w:val="both"/>
      </w:pPr>
      <w:r>
        <w:rPr>
          <w:rFonts w:ascii="Calibri" w:hAnsi="Calibri"/>
          <w:b w:val="0"/>
          <w:sz w:val="22"/>
        </w:rPr>
        <w:t>_____________________________</w:t>
      </w:r>
    </w:p>
    <w:p>
      <w:pPr>
        <w:jc w:val="both"/>
      </w:pPr>
      <w:r>
        <w:rPr>
          <w:rFonts w:ascii="Calibri" w:hAnsi="Calibri"/>
          <w:b/>
          <w:sz w:val="22"/>
        </w:rPr>
        <w:t>Dr. Nora Westphal</w:t>
      </w:r>
    </w:p>
    <w:p>
      <w:pPr>
        <w:jc w:val="both"/>
      </w:pPr>
      <w:r>
        <w:rPr>
          <w:rFonts w:ascii="Calibri" w:hAnsi="Calibri"/>
          <w:b w:val="0"/>
          <w:sz w:val="22"/>
        </w:rPr>
        <w:t>Insolvenzverwalterin</w:t>
      </w:r>
    </w:p>
    <w:sectPr w:rsidR="00FC693F" w:rsidRPr="0006063C" w:rsidSect="00034616">
      <w:headerReference w:type="default" r:id="rId9"/>
      <w:pgSz w:w="11906" w:h="16838"/>
      <w:pgMar w:top="1417" w:right="141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color w:val="787878"/>
        <w:sz w:val="18"/>
      </w:rPr>
      <w:t>Az. 7 IN 41/26 | Bericht Berichtstermin 14.09.2026</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