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Synopse</w:t>
      </w:r>
    </w:p>
    <w:p>
      <w:pPr>
        <w:jc w:val="center"/>
      </w:pPr>
      <w:r>
        <w:rPr>
          <w:b w:val="0"/>
        </w:rPr>
        <w:t>Entwurf eines Gesetzes ueber das elektronische Pflichtpostfach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230"/>
        <w:gridCol w:w="3230"/>
        <w:gridCol w:w="3230"/>
      </w:tblGrid>
      <w:tr>
        <w:tc>
          <w:tcPr>
            <w:tcW w:type="dxa" w:w="3230"/>
          </w:tcPr>
          <w:p>
            <w:r>
              <w:t>Geltendes Recht</w:t>
            </w:r>
          </w:p>
        </w:tc>
        <w:tc>
          <w:tcPr>
            <w:tcW w:type="dxa" w:w="3230"/>
          </w:tcPr>
          <w:p>
            <w:r>
              <w:t>Aenderung nach Entwurf</w:t>
            </w:r>
          </w:p>
        </w:tc>
        <w:tc>
          <w:tcPr>
            <w:tcW w:type="dxa" w:w="3230"/>
          </w:tcPr>
          <w:p>
            <w:r>
              <w:t>Begruendung</w:t>
            </w:r>
          </w:p>
        </w:tc>
      </w:tr>
      <w:tr>
        <w:tc>
          <w:tcPr>
            <w:tcW w:type="dxa" w:w="3230"/>
          </w:tcPr>
          <w:p>
            <w:r>
              <w:t>HGB § 33 (Eintragung von Aenderungen)</w:t>
            </w:r>
          </w:p>
        </w:tc>
        <w:tc>
          <w:tcPr>
            <w:tcW w:type="dxa" w:w="3230"/>
          </w:tcPr>
          <w:p>
            <w:r>
              <w:t>HGB § 33 unveraendert. Neu eingefuegt § 33a Pflichtpostfach: 'Im Handelsregister eingetragene Gesellschaften und ihre inlaendischen Zweigniederlassungen halten ein Pflichtpostfach nach dem Pflichtpostfachgesetz vor.'</w:t>
            </w:r>
          </w:p>
        </w:tc>
        <w:tc>
          <w:tcPr>
            <w:tcW w:type="dxa" w:w="3230"/>
          </w:tcPr>
          <w:p>
            <w:r>
              <w:t>Verankerung im Stammgesetz HGB sichert die Pflicht fuer alle HReg-Eintragungspflichtigen.</w:t>
            </w:r>
          </w:p>
        </w:tc>
      </w:tr>
      <w:tr>
        <w:tc>
          <w:tcPr>
            <w:tcW w:type="dxa" w:w="3230"/>
          </w:tcPr>
          <w:p>
            <w:r>
              <w:t>ZPO § 130d Satz 1 (Pflicht zur elektronischen Uebermittlung durch Rechtsanwaelte etc.)</w:t>
            </w:r>
          </w:p>
        </w:tc>
        <w:tc>
          <w:tcPr>
            <w:tcW w:type="dxa" w:w="3230"/>
          </w:tcPr>
          <w:p>
            <w:r>
              <w:t>ZPO § 130d Satz 2 neu: 'Verpflichtete im Sinne des § 1 des Pflichtpostfachgesetzes sind zur Zustellung an ihr Pflichtpostfach verpflichtet.'</w:t>
            </w:r>
          </w:p>
        </w:tc>
        <w:tc>
          <w:tcPr>
            <w:tcW w:type="dxa" w:w="3230"/>
          </w:tcPr>
          <w:p>
            <w:r>
              <w:t>Verfahrensseite der Pflicht.</w:t>
            </w:r>
          </w:p>
        </w:tc>
      </w:tr>
      <w:tr>
        <w:tc>
          <w:tcPr>
            <w:tcW w:type="dxa" w:w="3230"/>
          </w:tcPr>
          <w:p>
            <w:r>
              <w:t>FamFG § 14 Absatz 4 (elektronische Akte)</w:t>
            </w:r>
          </w:p>
        </w:tc>
        <w:tc>
          <w:tcPr>
            <w:tcW w:type="dxa" w:w="3230"/>
          </w:tcPr>
          <w:p>
            <w:r>
              <w:t>Einfuegung '§ 1 des Pflichtpostfachgesetzes bleibt unberuehrt'</w:t>
            </w:r>
          </w:p>
        </w:tc>
        <w:tc>
          <w:tcPr>
            <w:tcW w:type="dxa" w:w="3230"/>
          </w:tcPr>
          <w:p>
            <w:r>
              <w:t>Klarstellung fuer FreiwGB-Verfahren.</w:t>
            </w:r>
          </w:p>
        </w:tc>
      </w:tr>
      <w:tr>
        <w:tc>
          <w:tcPr>
            <w:tcW w:type="dxa" w:w="3230"/>
          </w:tcPr>
          <w:p>
            <w:r>
              <w:t>DSA Artikel 33 (VLOP/VLOSE-Kriterien)</w:t>
            </w:r>
          </w:p>
        </w:tc>
        <w:tc>
          <w:tcPr>
            <w:tcW w:type="dxa" w:w="3230"/>
          </w:tcPr>
          <w:p>
            <w:r>
              <w:t>Keine Aenderung</w:t>
            </w:r>
          </w:p>
        </w:tc>
        <w:tc>
          <w:tcPr>
            <w:tcW w:type="dxa" w:w="3230"/>
          </w:tcPr>
          <w:p>
            <w:r>
              <w:t xml:space="preserve"> Verweis im PflPostG § 1 Absatz 1 Nummer 2</w:t>
            </w:r>
          </w:p>
        </w:tc>
      </w:tr>
    </w:tbl>
    <w:sectPr w:rsidR="00FC693F" w:rsidRPr="0006063C" w:rsidSect="00034616"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cs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