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rFonts w:ascii="Calibri" w:hAnsi="Calibri"/>
          <w:b/>
          <w:sz w:val="28"/>
        </w:rPr>
        <w:t>Rheinland Spezialchemie GmbH</w:t>
      </w:r>
    </w:p>
    <w:p>
      <w:pPr>
        <w:spacing w:after="0"/>
      </w:pPr>
      <w:r>
        <w:rPr>
          <w:rFonts w:ascii="Calibri" w:hAnsi="Calibri"/>
          <w:b w:val="0"/>
          <w:sz w:val="20"/>
        </w:rPr>
        <w:t>Industriestraße 47 · 50389 Wesseling</w:t>
      </w:r>
    </w:p>
    <w:p>
      <w:pPr>
        <w:spacing w:after="0"/>
      </w:pPr>
      <w:r>
        <w:rPr>
          <w:rFonts w:ascii="Calibri" w:hAnsi="Calibri"/>
          <w:b w:val="0"/>
          <w:sz w:val="20"/>
        </w:rPr>
        <w:t>Tel. 02236 8411-0 · info@rs-spezialchemie.de</w:t>
      </w:r>
    </w:p>
    <w:p/>
    <w:p>
      <w:r>
        <w:rPr>
          <w:rFonts w:ascii="Calibri" w:hAnsi="Calibri"/>
          <w:b/>
          <w:sz w:val="22"/>
        </w:rPr>
        <w:t>Bezirksregierung Köln</w:t>
      </w:r>
      <w:r>
        <w:br/>
      </w:r>
      <w:r>
        <w:rPr>
          <w:rFonts w:ascii="Calibri" w:hAnsi="Calibri"/>
          <w:b w:val="0"/>
          <w:sz w:val="22"/>
        </w:rPr>
        <w:t>Abteilung 6 — Bergbau und Energie in NRW / Immissionsschutz</w:t>
      </w:r>
      <w:r>
        <w:br/>
      </w:r>
      <w:r>
        <w:rPr>
          <w:rFonts w:ascii="Calibri" w:hAnsi="Calibri"/>
          <w:b w:val="0"/>
          <w:sz w:val="22"/>
        </w:rPr>
        <w:t>Zeughausstraße 2–10</w:t>
      </w:r>
      <w:r>
        <w:br/>
      </w:r>
      <w:r>
        <w:rPr>
          <w:rFonts w:ascii="Calibri" w:hAnsi="Calibri"/>
          <w:b w:val="0"/>
          <w:sz w:val="22"/>
        </w:rPr>
        <w:t>50667 Köln</w:t>
      </w:r>
    </w:p>
    <w:p/>
    <w:p>
      <w:pPr>
        <w:jc w:val="right"/>
      </w:pPr>
      <w:r>
        <w:rPr>
          <w:rFonts w:ascii="Calibri" w:hAnsi="Calibri"/>
          <w:b w:val="0"/>
          <w:sz w:val="22"/>
        </w:rPr>
        <w:t>Wesseling, 14. März 2026</w:t>
      </w:r>
    </w:p>
    <w:p/>
    <w:p>
      <w:r>
        <w:rPr>
          <w:rFonts w:ascii="Calibri" w:hAnsi="Calibri"/>
          <w:b/>
          <w:sz w:val="22"/>
        </w:rPr>
        <w:t xml:space="preserve">Betreff: </w:t>
      </w:r>
      <w:r>
        <w:rPr>
          <w:rFonts w:ascii="Calibri" w:hAnsi="Calibri"/>
          <w:b/>
          <w:sz w:val="22"/>
        </w:rPr>
        <w:t>Änderungsanzeige gemäß § 15 Abs. 1 BImSchG — Linie 4, Trocknungsstufe</w:t>
      </w:r>
    </w:p>
    <w:p>
      <w:pPr>
        <w:spacing w:after="200"/>
      </w:pPr>
      <w:r>
        <w:rPr>
          <w:rFonts w:ascii="Calibri" w:hAnsi="Calibri"/>
          <w:b w:val="0"/>
          <w:sz w:val="20"/>
        </w:rPr>
        <w:t>Aktenzeichen Betreiber: RS-GmbH/BImSchG/L4/2026-03 | Behörde: BR-K/6-52.4/2019-014</w:t>
      </w:r>
    </w:p>
    <w:p>
      <w:pPr>
        <w:spacing w:before="240" w:after="80"/>
      </w:pPr>
      <w:r>
        <w:rPr>
          <w:rFonts w:ascii="Calibri" w:hAnsi="Calibri"/>
          <w:b/>
          <w:sz w:val="24"/>
        </w:rPr>
        <w:t>1. Angaben zum Betreiber und zur Anlage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3118"/>
          </w:tcPr>
          <w:p>
            <w:r>
              <w:rPr>
                <w:rFonts w:ascii="Calibri" w:hAnsi="Calibri"/>
                <w:b/>
                <w:sz w:val="20"/>
              </w:rPr>
              <w:t>Merkmal</w:t>
            </w:r>
          </w:p>
        </w:tc>
        <w:tc>
          <w:tcPr>
            <w:tcW w:type="dxa" w:w="5953"/>
          </w:tcPr>
          <w:p>
            <w:r>
              <w:rPr>
                <w:rFonts w:ascii="Calibri" w:hAnsi="Calibri"/>
                <w:b/>
                <w:sz w:val="20"/>
              </w:rPr>
              <w:t>Angabe</w:t>
            </w:r>
          </w:p>
        </w:tc>
      </w:tr>
      <w:tr>
        <w:tc>
          <w:tcPr>
            <w:tcW w:type="dxa" w:w="3118"/>
          </w:tcPr>
          <w:p/>
        </w:tc>
        <w:tc>
          <w:tcPr>
            <w:tcW w:type="dxa" w:w="5953"/>
          </w:tcPr>
          <w:p/>
        </w:tc>
      </w:tr>
      <w:tr>
        <w:tc>
          <w:tcPr>
            <w:tcW w:type="dxa" w:w="3118"/>
          </w:tcPr>
          <w:p/>
        </w:tc>
        <w:tc>
          <w:tcPr>
            <w:tcW w:type="dxa" w:w="5953"/>
          </w:tcPr>
          <w:p/>
        </w:tc>
      </w:tr>
      <w:tr>
        <w:tc>
          <w:tcPr>
            <w:tcW w:type="dxa" w:w="3118"/>
          </w:tcPr>
          <w:p/>
        </w:tc>
        <w:tc>
          <w:tcPr>
            <w:tcW w:type="dxa" w:w="5953"/>
          </w:tcPr>
          <w:p/>
        </w:tc>
      </w:tr>
      <w:tr>
        <w:tc>
          <w:tcPr>
            <w:tcW w:type="dxa" w:w="3118"/>
          </w:tcPr>
          <w:p/>
        </w:tc>
        <w:tc>
          <w:tcPr>
            <w:tcW w:type="dxa" w:w="5953"/>
          </w:tcPr>
          <w:p/>
        </w:tc>
      </w:tr>
      <w:tr>
        <w:tc>
          <w:tcPr>
            <w:tcW w:type="dxa" w:w="3118"/>
          </w:tcPr>
          <w:p/>
        </w:tc>
        <w:tc>
          <w:tcPr>
            <w:tcW w:type="dxa" w:w="5953"/>
          </w:tcPr>
          <w:p/>
        </w:tc>
      </w:tr>
      <w:tr>
        <w:tc>
          <w:tcPr>
            <w:tcW w:type="dxa" w:w="3118"/>
          </w:tcPr>
          <w:p/>
        </w:tc>
        <w:tc>
          <w:tcPr>
            <w:tcW w:type="dxa" w:w="5953"/>
          </w:tcPr>
          <w:p/>
        </w:tc>
      </w:tr>
      <w:tr>
        <w:tc>
          <w:tcPr>
            <w:tcW w:type="dxa" w:w="3118"/>
          </w:tcPr>
          <w:p/>
        </w:tc>
        <w:tc>
          <w:tcPr>
            <w:tcW w:type="dxa" w:w="5953"/>
          </w:tcPr>
          <w:p/>
        </w:tc>
      </w:tr>
      <w:tr>
        <w:tc>
          <w:tcPr>
            <w:tcW w:type="dxa" w:w="3118"/>
          </w:tcPr>
          <w:p/>
        </w:tc>
        <w:tc>
          <w:tcPr>
            <w:tcW w:type="dxa" w:w="5953"/>
          </w:tcPr>
          <w:p/>
        </w:tc>
      </w:tr>
      <w:tr>
        <w:tc>
          <w:tcPr>
            <w:tcW w:type="dxa" w:w="3118"/>
          </w:tcPr>
          <w:p>
            <w:r>
              <w:rPr>
                <w:rFonts w:ascii="Calibri" w:hAnsi="Calibri"/>
                <w:b w:val="0"/>
                <w:sz w:val="20"/>
              </w:rPr>
              <w:t>Betreiberin</w:t>
            </w:r>
          </w:p>
        </w:tc>
        <w:tc>
          <w:tcPr>
            <w:tcW w:type="dxa" w:w="5953"/>
          </w:tcPr>
          <w:p>
            <w:r>
              <w:rPr>
                <w:rFonts w:ascii="Calibri" w:hAnsi="Calibri"/>
                <w:b w:val="0"/>
                <w:sz w:val="20"/>
              </w:rPr>
              <w:t>Rheinland Spezialchemie GmbH</w:t>
            </w:r>
          </w:p>
        </w:tc>
      </w:tr>
      <w:tr>
        <w:tc>
          <w:tcPr>
            <w:tcW w:type="dxa" w:w="3118"/>
          </w:tcPr>
          <w:p>
            <w:r>
              <w:rPr>
                <w:rFonts w:ascii="Calibri" w:hAnsi="Calibri"/>
                <w:b w:val="0"/>
                <w:sz w:val="20"/>
              </w:rPr>
              <w:t>Handelsregister</w:t>
            </w:r>
          </w:p>
        </w:tc>
        <w:tc>
          <w:tcPr>
            <w:tcW w:type="dxa" w:w="5953"/>
          </w:tcPr>
          <w:p>
            <w:r>
              <w:rPr>
                <w:rFonts w:ascii="Calibri" w:hAnsi="Calibri"/>
                <w:b w:val="0"/>
                <w:sz w:val="20"/>
              </w:rPr>
              <w:t>Köln, HRB 87 634</w:t>
            </w:r>
          </w:p>
        </w:tc>
      </w:tr>
      <w:tr>
        <w:tc>
          <w:tcPr>
            <w:tcW w:type="dxa" w:w="3118"/>
          </w:tcPr>
          <w:p>
            <w:r>
              <w:rPr>
                <w:rFonts w:ascii="Calibri" w:hAnsi="Calibri"/>
                <w:b w:val="0"/>
                <w:sz w:val="20"/>
              </w:rPr>
              <w:t>Anschrift Werk</w:t>
            </w:r>
          </w:p>
        </w:tc>
        <w:tc>
          <w:tcPr>
            <w:tcW w:type="dxa" w:w="5953"/>
          </w:tcPr>
          <w:p>
            <w:r>
              <w:rPr>
                <w:rFonts w:ascii="Calibri" w:hAnsi="Calibri"/>
                <w:b w:val="0"/>
                <w:sz w:val="20"/>
              </w:rPr>
              <w:t>Industriestraße 47, 50389 Wesseling</w:t>
            </w:r>
          </w:p>
        </w:tc>
      </w:tr>
      <w:tr>
        <w:tc>
          <w:tcPr>
            <w:tcW w:type="dxa" w:w="3118"/>
          </w:tcPr>
          <w:p>
            <w:r>
              <w:rPr>
                <w:rFonts w:ascii="Calibri" w:hAnsi="Calibri"/>
                <w:b w:val="0"/>
                <w:sz w:val="20"/>
              </w:rPr>
              <w:t>Geschäftsführung</w:t>
            </w:r>
          </w:p>
        </w:tc>
        <w:tc>
          <w:tcPr>
            <w:tcW w:type="dxa" w:w="5953"/>
          </w:tcPr>
          <w:p>
            <w:r>
              <w:rPr>
                <w:rFonts w:ascii="Calibri" w:hAnsi="Calibri"/>
                <w:b w:val="0"/>
                <w:sz w:val="20"/>
              </w:rPr>
              <w:t>Dr. Markus Haverkamp (techn.), Sandra Vielhaber (kfm.)</w:t>
            </w:r>
          </w:p>
        </w:tc>
      </w:tr>
      <w:tr>
        <w:tc>
          <w:tcPr>
            <w:tcW w:type="dxa" w:w="3118"/>
          </w:tcPr>
          <w:p>
            <w:r>
              <w:rPr>
                <w:rFonts w:ascii="Calibri" w:hAnsi="Calibri"/>
                <w:b w:val="0"/>
                <w:sz w:val="20"/>
              </w:rPr>
              <w:t>Bevollmächtigte Kanzlei</w:t>
            </w:r>
          </w:p>
        </w:tc>
        <w:tc>
          <w:tcPr>
            <w:tcW w:type="dxa" w:w="5953"/>
          </w:tcPr>
          <w:p>
            <w:r>
              <w:rPr>
                <w:rFonts w:ascii="Calibri" w:hAnsi="Calibri"/>
                <w:b w:val="0"/>
                <w:sz w:val="20"/>
              </w:rPr>
              <w:t>Rosengart &amp; Partner, Hohenzollernring 14, 50672 Köln</w:t>
            </w:r>
          </w:p>
        </w:tc>
      </w:tr>
      <w:tr>
        <w:tc>
          <w:tcPr>
            <w:tcW w:type="dxa" w:w="3118"/>
          </w:tcPr>
          <w:p>
            <w:r>
              <w:rPr>
                <w:rFonts w:ascii="Calibri" w:hAnsi="Calibri"/>
                <w:b w:val="0"/>
                <w:sz w:val="20"/>
              </w:rPr>
              <w:t>Ansprechpartner</w:t>
            </w:r>
          </w:p>
        </w:tc>
        <w:tc>
          <w:tcPr>
            <w:tcW w:type="dxa" w:w="5953"/>
          </w:tcPr>
          <w:p>
            <w:r>
              <w:rPr>
                <w:rFonts w:ascii="Calibri" w:hAnsi="Calibri"/>
                <w:b w:val="0"/>
                <w:sz w:val="20"/>
              </w:rPr>
              <w:t>Dr.-Ing. Felix Bergerhausen, Tel. 02236 8411-301</w:t>
            </w:r>
          </w:p>
        </w:tc>
      </w:tr>
      <w:tr>
        <w:tc>
          <w:tcPr>
            <w:tcW w:type="dxa" w:w="3118"/>
          </w:tcPr>
          <w:p>
            <w:r>
              <w:rPr>
                <w:rFonts w:ascii="Calibri" w:hAnsi="Calibri"/>
                <w:b w:val="0"/>
                <w:sz w:val="20"/>
              </w:rPr>
              <w:t>Bestehende Genehmigung</w:t>
            </w:r>
          </w:p>
        </w:tc>
        <w:tc>
          <w:tcPr>
            <w:tcW w:type="dxa" w:w="5953"/>
          </w:tcPr>
          <w:p>
            <w:r>
              <w:rPr>
                <w:rFonts w:ascii="Calibri" w:hAnsi="Calibri"/>
                <w:b w:val="0"/>
                <w:sz w:val="20"/>
              </w:rPr>
              <w:t>Änderungsgenehmigung 03.09.2019 (Az. BR-K/6-52.4/2019-014)</w:t>
            </w:r>
          </w:p>
        </w:tc>
      </w:tr>
      <w:tr>
        <w:tc>
          <w:tcPr>
            <w:tcW w:type="dxa" w:w="3118"/>
          </w:tcPr>
          <w:p>
            <w:r>
              <w:rPr>
                <w:rFonts w:ascii="Calibri" w:hAnsi="Calibri"/>
                <w:b w:val="0"/>
                <w:sz w:val="20"/>
              </w:rPr>
              <w:t>Anlagenart</w:t>
            </w:r>
          </w:p>
        </w:tc>
        <w:tc>
          <w:tcPr>
            <w:tcW w:type="dxa" w:w="5953"/>
          </w:tcPr>
          <w:p>
            <w:r>
              <w:rPr>
                <w:rFonts w:ascii="Calibri" w:hAnsi="Calibri"/>
                <w:b w:val="0"/>
                <w:sz w:val="20"/>
              </w:rPr>
              <w:t>Nr. 4.1.1 Anhang 1 4. BImSchV, IED-Anlage</w:t>
            </w:r>
          </w:p>
        </w:tc>
      </w:tr>
    </w:tbl>
    <w:p/>
    <w:p>
      <w:pPr>
        <w:spacing w:before="240" w:after="80"/>
      </w:pPr>
      <w:r>
        <w:rPr>
          <w:rFonts w:ascii="Calibri" w:hAnsi="Calibri"/>
          <w:b/>
          <w:sz w:val="24"/>
        </w:rPr>
        <w:t>2. Gegenstand der Änderungsanzeige</w:t>
      </w:r>
    </w:p>
    <w:p>
      <w:pPr>
        <w:spacing w:before="40" w:after="80"/>
      </w:pPr>
      <w:r>
        <w:rPr>
          <w:rFonts w:ascii="Calibri" w:hAnsi="Calibri"/>
          <w:b w:val="0"/>
          <w:sz w:val="22"/>
        </w:rPr>
        <w:t>Die RS GmbH beabsichtigt, auf dem Betriebsgelände Werk Nord die Produktionslinie 4 (Feinchemikaliensynthese, Batch-Verfahren, Hauptprodukt: 4-Chlorbenzaldehyd-Derivate) durch eine vorgeschaltete Trocknungsstufe zu erweitern. Die neue Trocknungsstufe überführt die bislang ausgelagerte Vortrocknung von Zwischenprodukten in eine eigenständige, vollständig emissionsarme Inline-Prozesseinheit.</w:t>
      </w:r>
    </w:p>
    <w:p>
      <w:pPr>
        <w:spacing w:before="240" w:after="80"/>
      </w:pPr>
      <w:r>
        <w:rPr>
          <w:rFonts w:ascii="Calibri" w:hAnsi="Calibri"/>
          <w:b/>
          <w:sz w:val="22"/>
        </w:rPr>
        <w:t>2.1 Technische Beschreibung</w:t>
      </w:r>
    </w:p>
    <w:p>
      <w:pPr>
        <w:spacing w:before="40" w:after="80"/>
      </w:pPr>
      <w:r>
        <w:rPr>
          <w:rFonts w:ascii="Calibri" w:hAnsi="Calibri"/>
          <w:b w:val="0"/>
          <w:sz w:val="22"/>
        </w:rPr>
        <w:t>Trocknungsaggregat: Schaufeltrockner Hosokawa Alpine CT-600, Nennkapazität 600 kg/h, Betriebstemperatur 80–140 °C, Antriebsleistung 37 kW.</w:t>
      </w:r>
    </w:p>
    <w:p>
      <w:pPr>
        <w:spacing w:before="40" w:after="80"/>
      </w:pPr>
      <w:r>
        <w:rPr>
          <w:rFonts w:ascii="Calibri" w:hAnsi="Calibri"/>
          <w:b w:val="0"/>
          <w:sz w:val="22"/>
        </w:rPr>
        <w:t>Entstaubungsanlage: Schlauchfilter (Filterfläche 48 m²), nachgeschaltet; Abluft max. 3.200 Nm³/h.</w:t>
      </w:r>
    </w:p>
    <w:p>
      <w:pPr>
        <w:spacing w:before="40" w:after="80"/>
      </w:pPr>
      <w:r>
        <w:rPr>
          <w:rFonts w:ascii="Calibri" w:hAnsi="Calibri"/>
          <w:b w:val="0"/>
          <w:sz w:val="22"/>
        </w:rPr>
        <w:t>Abluftnachbehandlung: Aktivkohle-Adsorptionsfilter (zweistufig), TOC max. 30 mg/Nm³.</w:t>
      </w:r>
    </w:p>
    <w:p>
      <w:pPr>
        <w:spacing w:before="40" w:after="80"/>
      </w:pPr>
      <w:r>
        <w:rPr>
          <w:rFonts w:ascii="Calibri" w:hAnsi="Calibri"/>
          <w:b w:val="0"/>
          <w:sz w:val="22"/>
        </w:rPr>
        <w:t>Abluftführung: Einbindung in bestehenden Schornstein H-04 (Höhe 24 m).</w:t>
      </w:r>
    </w:p>
    <w:p>
      <w:pPr>
        <w:spacing w:before="40" w:after="80"/>
      </w:pPr>
      <w:r>
        <w:rPr>
          <w:rFonts w:ascii="Calibri" w:hAnsi="Calibri"/>
          <w:b w:val="0"/>
          <w:sz w:val="22"/>
        </w:rPr>
        <w:t>Fläche: Aufstellung innerhalb bestehender Halle 4a auf ca. 12 m² Fundament.</w:t>
      </w:r>
    </w:p>
    <w:p>
      <w:pPr>
        <w:spacing w:before="240" w:after="80"/>
      </w:pPr>
      <w:r>
        <w:rPr>
          <w:rFonts w:ascii="Calibri" w:hAnsi="Calibri"/>
          <w:b/>
          <w:sz w:val="22"/>
        </w:rPr>
        <w:t>2.2 Kapazitätsveränderung</w:t>
      </w:r>
    </w:p>
    <w:p>
      <w:pPr>
        <w:spacing w:before="40" w:after="80"/>
      </w:pPr>
      <w:r>
        <w:rPr>
          <w:rFonts w:ascii="Calibri" w:hAnsi="Calibri"/>
          <w:b w:val="0"/>
          <w:sz w:val="22"/>
        </w:rPr>
        <w:t>Die Jahresproduktion steigt von genehmigten 1.800 t/a auf bis zu 2.350 t/a (+ 31 %). Der bislang extern anfallende Trocknungsschritt entfällt; die Zwischentransporte auf öffentlichen Straßen reduzieren sich um ca. 180 Lkw-Fahrten/a.</w:t>
      </w:r>
    </w:p>
    <w:p>
      <w:pPr>
        <w:spacing w:before="240" w:after="80"/>
      </w:pPr>
      <w:r>
        <w:rPr>
          <w:rFonts w:ascii="Calibri" w:hAnsi="Calibri"/>
          <w:b/>
          <w:sz w:val="24"/>
        </w:rPr>
        <w:t>3. Abgrenzung § 15 BImSchG / § 16 BImSchG</w:t>
      </w:r>
    </w:p>
    <w:p>
      <w:pPr>
        <w:spacing w:before="40" w:after="80"/>
      </w:pPr>
      <w:r>
        <w:rPr>
          <w:rFonts w:ascii="Calibri" w:hAnsi="Calibri"/>
          <w:b w:val="0"/>
          <w:sz w:val="22"/>
        </w:rPr>
        <w:t>Nach summarischer Prüfung liegt keine Genehmigungspflicht nach § 16 BImSchG vor. Nachteilige Auswirkungen auf die schutzwürdigen Belange des § 5 Abs. 1 Nr. 1 BImSchG können aufgrund der technischen Auslegung und der vorhandenen Kapazitäten offensichtlich ausgeschlossen werden. Die Zusatz-Staubemission beträgt &lt; 10 % der Gesamtemission; die Immissionswerte der TA Luft 2021 werden am nächsten Immissionsort deutlich eingehalten (Screening-Berechnung, Anlage 4).</w:t>
      </w:r>
    </w:p>
    <w:p>
      <w:pPr>
        <w:spacing w:before="240" w:after="80"/>
      </w:pPr>
      <w:r>
        <w:rPr>
          <w:rFonts w:ascii="Calibri" w:hAnsi="Calibri"/>
          <w:b/>
          <w:sz w:val="24"/>
        </w:rPr>
        <w:t>4. Emissionsprognose (Übersicht)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417"/>
          </w:tcPr>
          <w:p>
            <w:r>
              <w:rPr>
                <w:rFonts w:ascii="Calibri" w:hAnsi="Calibri"/>
                <w:b/>
                <w:sz w:val="20"/>
              </w:rPr>
              <w:t>Quell-Nr.</w:t>
            </w:r>
          </w:p>
        </w:tc>
        <w:tc>
          <w:tcPr>
            <w:tcW w:type="dxa" w:w="3402"/>
          </w:tcPr>
          <w:p>
            <w:r>
              <w:rPr>
                <w:rFonts w:ascii="Calibri" w:hAnsi="Calibri"/>
                <w:b/>
                <w:sz w:val="20"/>
              </w:rPr>
              <w:t>Bezeichnung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b/>
                <w:sz w:val="20"/>
              </w:rPr>
              <w:t>Abluft Nm³/h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b/>
                <w:sz w:val="20"/>
              </w:rPr>
              <w:t>Staub mg/Nm³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b/>
                <w:sz w:val="20"/>
              </w:rPr>
              <w:t>TOC mg/Nm³</w:t>
            </w:r>
          </w:p>
        </w:tc>
      </w:tr>
      <w:tr>
        <w:tc>
          <w:tcPr>
            <w:tcW w:type="dxa" w:w="1417"/>
          </w:tcPr>
          <w:p/>
        </w:tc>
        <w:tc>
          <w:tcPr>
            <w:tcW w:type="dxa" w:w="3402"/>
          </w:tcPr>
          <w:p/>
        </w:tc>
        <w:tc>
          <w:tcPr>
            <w:tcW w:type="dxa" w:w="1701"/>
          </w:tcPr>
          <w:p/>
        </w:tc>
        <w:tc>
          <w:tcPr>
            <w:tcW w:type="dxa" w:w="1701"/>
          </w:tcPr>
          <w:p/>
        </w:tc>
        <w:tc>
          <w:tcPr>
            <w:tcW w:type="dxa" w:w="1701"/>
          </w:tcPr>
          <w:p/>
        </w:tc>
      </w:tr>
      <w:tr>
        <w:tc>
          <w:tcPr>
            <w:tcW w:type="dxa" w:w="1417"/>
          </w:tcPr>
          <w:p/>
        </w:tc>
        <w:tc>
          <w:tcPr>
            <w:tcW w:type="dxa" w:w="3402"/>
          </w:tcPr>
          <w:p/>
        </w:tc>
        <w:tc>
          <w:tcPr>
            <w:tcW w:type="dxa" w:w="1701"/>
          </w:tcPr>
          <w:p/>
        </w:tc>
        <w:tc>
          <w:tcPr>
            <w:tcW w:type="dxa" w:w="1701"/>
          </w:tcPr>
          <w:p/>
        </w:tc>
        <w:tc>
          <w:tcPr>
            <w:tcW w:type="dxa" w:w="1701"/>
          </w:tcPr>
          <w:p/>
        </w:tc>
      </w:tr>
      <w:tr>
        <w:tc>
          <w:tcPr>
            <w:tcW w:type="dxa" w:w="1417"/>
          </w:tcPr>
          <w:p/>
        </w:tc>
        <w:tc>
          <w:tcPr>
            <w:tcW w:type="dxa" w:w="3402"/>
          </w:tcPr>
          <w:p/>
        </w:tc>
        <w:tc>
          <w:tcPr>
            <w:tcW w:type="dxa" w:w="1701"/>
          </w:tcPr>
          <w:p/>
        </w:tc>
        <w:tc>
          <w:tcPr>
            <w:tcW w:type="dxa" w:w="1701"/>
          </w:tcPr>
          <w:p/>
        </w:tc>
        <w:tc>
          <w:tcPr>
            <w:tcW w:type="dxa" w:w="1701"/>
          </w:tcPr>
          <w:p/>
        </w:tc>
      </w:tr>
      <w:tr>
        <w:tc>
          <w:tcPr>
            <w:tcW w:type="dxa" w:w="1417"/>
          </w:tcPr>
          <w:p/>
        </w:tc>
        <w:tc>
          <w:tcPr>
            <w:tcW w:type="dxa" w:w="3402"/>
          </w:tcPr>
          <w:p/>
        </w:tc>
        <w:tc>
          <w:tcPr>
            <w:tcW w:type="dxa" w:w="1701"/>
          </w:tcPr>
          <w:p/>
        </w:tc>
        <w:tc>
          <w:tcPr>
            <w:tcW w:type="dxa" w:w="1701"/>
          </w:tcPr>
          <w:p/>
        </w:tc>
        <w:tc>
          <w:tcPr>
            <w:tcW w:type="dxa" w:w="1701"/>
          </w:tcPr>
          <w:p/>
        </w:tc>
      </w:tr>
      <w:tr>
        <w:tc>
          <w:tcPr>
            <w:tcW w:type="dxa" w:w="1417"/>
          </w:tcPr>
          <w:p/>
        </w:tc>
        <w:tc>
          <w:tcPr>
            <w:tcW w:type="dxa" w:w="3402"/>
          </w:tcPr>
          <w:p/>
        </w:tc>
        <w:tc>
          <w:tcPr>
            <w:tcW w:type="dxa" w:w="1701"/>
          </w:tcPr>
          <w:p/>
        </w:tc>
        <w:tc>
          <w:tcPr>
            <w:tcW w:type="dxa" w:w="1701"/>
          </w:tcPr>
          <w:p/>
        </w:tc>
        <w:tc>
          <w:tcPr>
            <w:tcW w:type="dxa" w:w="1701"/>
          </w:tcPr>
          <w:p/>
        </w:tc>
      </w:tr>
      <w:tr>
        <w:tc>
          <w:tcPr>
            <w:tcW w:type="dxa" w:w="1417"/>
          </w:tcPr>
          <w:p>
            <w:r>
              <w:rPr>
                <w:rFonts w:ascii="Calibri" w:hAnsi="Calibri"/>
                <w:b w:val="0"/>
                <w:sz w:val="20"/>
              </w:rPr>
              <w:t>H-01</w:t>
            </w:r>
          </w:p>
        </w:tc>
        <w:tc>
          <w:tcPr>
            <w:tcW w:type="dxa" w:w="3402"/>
          </w:tcPr>
          <w:p>
            <w:r>
              <w:rPr>
                <w:rFonts w:ascii="Calibri" w:hAnsi="Calibri"/>
                <w:b w:val="0"/>
                <w:sz w:val="20"/>
              </w:rPr>
              <w:t>Reaktionsabluft R-4.1/4.2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b w:val="0"/>
                <w:sz w:val="20"/>
              </w:rPr>
              <w:t>4.800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b w:val="0"/>
                <w:sz w:val="20"/>
              </w:rPr>
              <w:t>3,2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b w:val="0"/>
                <w:sz w:val="20"/>
              </w:rPr>
              <w:t>40</w:t>
            </w:r>
          </w:p>
        </w:tc>
      </w:tr>
      <w:tr>
        <w:tc>
          <w:tcPr>
            <w:tcW w:type="dxa" w:w="1417"/>
          </w:tcPr>
          <w:p>
            <w:r>
              <w:rPr>
                <w:rFonts w:ascii="Calibri" w:hAnsi="Calibri"/>
                <w:b w:val="0"/>
                <w:sz w:val="20"/>
              </w:rPr>
              <w:t>H-02</w:t>
            </w:r>
          </w:p>
        </w:tc>
        <w:tc>
          <w:tcPr>
            <w:tcW w:type="dxa" w:w="3402"/>
          </w:tcPr>
          <w:p>
            <w:r>
              <w:rPr>
                <w:rFonts w:ascii="Calibri" w:hAnsi="Calibri"/>
                <w:b w:val="0"/>
                <w:sz w:val="20"/>
              </w:rPr>
              <w:t>Mahlabluft M-4.1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b w:val="0"/>
                <w:sz w:val="20"/>
              </w:rPr>
              <w:t>2.200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b w:val="0"/>
                <w:sz w:val="20"/>
              </w:rPr>
              <w:t>4,8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b w:val="0"/>
                <w:sz w:val="20"/>
              </w:rPr>
              <w:t>5</w:t>
            </w:r>
          </w:p>
        </w:tc>
      </w:tr>
      <w:tr>
        <w:tc>
          <w:tcPr>
            <w:tcW w:type="dxa" w:w="1417"/>
          </w:tcPr>
          <w:p>
            <w:r>
              <w:rPr>
                <w:rFonts w:ascii="Calibri" w:hAnsi="Calibri"/>
                <w:b w:val="0"/>
                <w:sz w:val="20"/>
              </w:rPr>
              <w:t>H-03</w:t>
            </w:r>
          </w:p>
        </w:tc>
        <w:tc>
          <w:tcPr>
            <w:tcW w:type="dxa" w:w="3402"/>
          </w:tcPr>
          <w:p>
            <w:r>
              <w:rPr>
                <w:rFonts w:ascii="Calibri" w:hAnsi="Calibri"/>
                <w:b w:val="0"/>
                <w:sz w:val="20"/>
              </w:rPr>
              <w:t>Tankatmung F-4.1–4.3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b w:val="0"/>
                <w:sz w:val="20"/>
              </w:rPr>
              <w:t>400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b w:val="0"/>
                <w:sz w:val="20"/>
              </w:rPr>
              <w:t>0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b w:val="0"/>
                <w:sz w:val="20"/>
              </w:rPr>
              <w:t>120</w:t>
            </w:r>
          </w:p>
        </w:tc>
      </w:tr>
      <w:tr>
        <w:tc>
          <w:tcPr>
            <w:tcW w:type="dxa" w:w="1417"/>
          </w:tcPr>
          <w:p>
            <w:r>
              <w:rPr>
                <w:rFonts w:ascii="Calibri" w:hAnsi="Calibri"/>
                <w:b w:val="0"/>
                <w:sz w:val="20"/>
              </w:rPr>
              <w:t>H-04 (neu)</w:t>
            </w:r>
          </w:p>
        </w:tc>
        <w:tc>
          <w:tcPr>
            <w:tcW w:type="dxa" w:w="3402"/>
          </w:tcPr>
          <w:p>
            <w:r>
              <w:rPr>
                <w:rFonts w:ascii="Calibri" w:hAnsi="Calibri"/>
                <w:b w:val="0"/>
                <w:sz w:val="20"/>
              </w:rPr>
              <w:t>Schaufeltrockner CT-600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b w:val="0"/>
                <w:sz w:val="20"/>
              </w:rPr>
              <w:t>3.200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b w:val="0"/>
                <w:sz w:val="20"/>
              </w:rPr>
              <w:t>5,0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b w:val="0"/>
                <w:sz w:val="20"/>
              </w:rPr>
              <w:t>30</w:t>
            </w:r>
          </w:p>
        </w:tc>
      </w:tr>
      <w:tr>
        <w:tc>
          <w:tcPr>
            <w:tcW w:type="dxa" w:w="1417"/>
          </w:tcPr>
          <w:p>
            <w:r>
              <w:rPr>
                <w:rFonts w:ascii="Calibri" w:hAnsi="Calibri"/>
                <w:b w:val="0"/>
                <w:sz w:val="20"/>
              </w:rPr>
              <w:t>H-05</w:t>
            </w:r>
          </w:p>
        </w:tc>
        <w:tc>
          <w:tcPr>
            <w:tcW w:type="dxa" w:w="3402"/>
          </w:tcPr>
          <w:p>
            <w:r>
              <w:rPr>
                <w:rFonts w:ascii="Calibri" w:hAnsi="Calibri"/>
                <w:b w:val="0"/>
                <w:sz w:val="20"/>
              </w:rPr>
              <w:t>Allgemeinabluft Halle 4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b w:val="0"/>
                <w:sz w:val="20"/>
              </w:rPr>
              <w:t>6.000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b w:val="0"/>
                <w:sz w:val="20"/>
              </w:rPr>
              <w:t>2,0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b w:val="0"/>
                <w:sz w:val="20"/>
              </w:rPr>
              <w:t>10</w:t>
            </w:r>
          </w:p>
        </w:tc>
      </w:tr>
    </w:tbl>
    <w:p/>
    <w:p>
      <w:pPr>
        <w:spacing w:before="240" w:after="80"/>
      </w:pPr>
      <w:r>
        <w:rPr>
          <w:rFonts w:ascii="Calibri" w:hAnsi="Calibri"/>
          <w:b/>
          <w:sz w:val="24"/>
        </w:rPr>
        <w:t>5. Zeitplan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5669"/>
          </w:tcPr>
          <w:p>
            <w:r>
              <w:rPr>
                <w:rFonts w:ascii="Calibri" w:hAnsi="Calibri"/>
                <w:b/>
                <w:sz w:val="20"/>
              </w:rPr>
              <w:t>Schritt</w:t>
            </w:r>
          </w:p>
        </w:tc>
        <w:tc>
          <w:tcPr>
            <w:tcW w:type="dxa" w:w="3402"/>
          </w:tcPr>
          <w:p>
            <w:r>
              <w:rPr>
                <w:rFonts w:ascii="Calibri" w:hAnsi="Calibri"/>
                <w:b/>
                <w:sz w:val="20"/>
              </w:rPr>
              <w:t>Datum</w:t>
            </w:r>
          </w:p>
        </w:tc>
      </w:tr>
      <w:tr>
        <w:tc>
          <w:tcPr>
            <w:tcW w:type="dxa" w:w="5669"/>
          </w:tcPr>
          <w:p/>
        </w:tc>
        <w:tc>
          <w:tcPr>
            <w:tcW w:type="dxa" w:w="3402"/>
          </w:tcPr>
          <w:p/>
        </w:tc>
      </w:tr>
      <w:tr>
        <w:tc>
          <w:tcPr>
            <w:tcW w:type="dxa" w:w="5669"/>
          </w:tcPr>
          <w:p/>
        </w:tc>
        <w:tc>
          <w:tcPr>
            <w:tcW w:type="dxa" w:w="3402"/>
          </w:tcPr>
          <w:p/>
        </w:tc>
      </w:tr>
      <w:tr>
        <w:tc>
          <w:tcPr>
            <w:tcW w:type="dxa" w:w="5669"/>
          </w:tcPr>
          <w:p/>
        </w:tc>
        <w:tc>
          <w:tcPr>
            <w:tcW w:type="dxa" w:w="3402"/>
          </w:tcPr>
          <w:p/>
        </w:tc>
      </w:tr>
      <w:tr>
        <w:tc>
          <w:tcPr>
            <w:tcW w:type="dxa" w:w="5669"/>
          </w:tcPr>
          <w:p/>
        </w:tc>
        <w:tc>
          <w:tcPr>
            <w:tcW w:type="dxa" w:w="3402"/>
          </w:tcPr>
          <w:p/>
        </w:tc>
      </w:tr>
      <w:tr>
        <w:tc>
          <w:tcPr>
            <w:tcW w:type="dxa" w:w="5669"/>
          </w:tcPr>
          <w:p>
            <w:r>
              <w:rPr>
                <w:rFonts w:ascii="Calibri" w:hAnsi="Calibri"/>
                <w:b w:val="0"/>
                <w:sz w:val="20"/>
              </w:rPr>
              <w:t>Eingang Anzeige bei Bezirksregierung</w:t>
            </w:r>
          </w:p>
        </w:tc>
        <w:tc>
          <w:tcPr>
            <w:tcW w:type="dxa" w:w="3402"/>
          </w:tcPr>
          <w:p>
            <w:r>
              <w:rPr>
                <w:rFonts w:ascii="Calibri" w:hAnsi="Calibri"/>
                <w:b w:val="0"/>
                <w:sz w:val="20"/>
              </w:rPr>
              <w:t>14. März 2026</w:t>
            </w:r>
          </w:p>
        </w:tc>
      </w:tr>
      <w:tr>
        <w:tc>
          <w:tcPr>
            <w:tcW w:type="dxa" w:w="5669"/>
          </w:tcPr>
          <w:p>
            <w:r>
              <w:rPr>
                <w:rFonts w:ascii="Calibri" w:hAnsi="Calibri"/>
                <w:b w:val="0"/>
                <w:sz w:val="20"/>
              </w:rPr>
              <w:t>Geplanter Baubeginn (Fundamentarbeiten)</w:t>
            </w:r>
          </w:p>
        </w:tc>
        <w:tc>
          <w:tcPr>
            <w:tcW w:type="dxa" w:w="3402"/>
          </w:tcPr>
          <w:p>
            <w:r>
              <w:rPr>
                <w:rFonts w:ascii="Calibri" w:hAnsi="Calibri"/>
                <w:b w:val="0"/>
                <w:sz w:val="20"/>
              </w:rPr>
              <w:t>15. April 2026</w:t>
            </w:r>
          </w:p>
        </w:tc>
      </w:tr>
      <w:tr>
        <w:tc>
          <w:tcPr>
            <w:tcW w:type="dxa" w:w="5669"/>
          </w:tcPr>
          <w:p>
            <w:r>
              <w:rPr>
                <w:rFonts w:ascii="Calibri" w:hAnsi="Calibri"/>
                <w:b w:val="0"/>
                <w:sz w:val="20"/>
              </w:rPr>
              <w:t>Inbetriebnahme Trocknungsstufe (geplant)</w:t>
            </w:r>
          </w:p>
        </w:tc>
        <w:tc>
          <w:tcPr>
            <w:tcW w:type="dxa" w:w="3402"/>
          </w:tcPr>
          <w:p>
            <w:r>
              <w:rPr>
                <w:rFonts w:ascii="Calibri" w:hAnsi="Calibri"/>
                <w:b w:val="0"/>
                <w:sz w:val="20"/>
              </w:rPr>
              <w:t>1. August 2026</w:t>
            </w:r>
          </w:p>
        </w:tc>
      </w:tr>
      <w:tr>
        <w:tc>
          <w:tcPr>
            <w:tcW w:type="dxa" w:w="5669"/>
          </w:tcPr>
          <w:p>
            <w:r>
              <w:rPr>
                <w:rFonts w:ascii="Calibri" w:hAnsi="Calibri"/>
                <w:b w:val="0"/>
                <w:sz w:val="20"/>
              </w:rPr>
              <w:t>Erstmessung nach § 26 BImSchG</w:t>
            </w:r>
          </w:p>
        </w:tc>
        <w:tc>
          <w:tcPr>
            <w:tcW w:type="dxa" w:w="3402"/>
          </w:tcPr>
          <w:p>
            <w:r>
              <w:rPr>
                <w:rFonts w:ascii="Calibri" w:hAnsi="Calibri"/>
                <w:b w:val="0"/>
                <w:sz w:val="20"/>
              </w:rPr>
              <w:t>spätestens 31. Oktober 2026</w:t>
            </w:r>
          </w:p>
        </w:tc>
      </w:tr>
    </w:tbl>
    <w:p/>
    <w:p>
      <w:pPr>
        <w:spacing w:before="240" w:after="80"/>
      </w:pPr>
      <w:r>
        <w:rPr>
          <w:rFonts w:ascii="Calibri" w:hAnsi="Calibri"/>
          <w:b/>
          <w:sz w:val="24"/>
        </w:rPr>
        <w:t>6. Anträge</w:t>
      </w:r>
    </w:p>
    <w:p>
      <w:pPr>
        <w:spacing w:before="40" w:after="80"/>
      </w:pPr>
      <w:r>
        <w:rPr>
          <w:rFonts w:ascii="Calibri" w:hAnsi="Calibri"/>
          <w:b w:val="0"/>
          <w:sz w:val="22"/>
        </w:rPr>
        <w:t>Die Betreiberin beantragt (1) die Bestätigung der Anzeige (Negativzeugnis) nach § 15 Abs. 2 BImSchG; (2) hilfsweise Behandlung als Antrag auf Änderungsgenehmigung nach § 16 BImSchG; (3) bis zur Entscheidung keine Untersagung des vorbereitenden Baubeginns.</w:t>
      </w:r>
    </w:p>
    <w:p/>
    <w:p>
      <w:r>
        <w:rPr>
          <w:rFonts w:ascii="Calibri" w:hAnsi="Calibri"/>
          <w:b/>
          <w:sz w:val="22"/>
        </w:rPr>
        <w:t>Rheinland Spezialchemie GmbH</w:t>
      </w:r>
    </w:p>
    <w:p>
      <w:r>
        <w:rPr>
          <w:rFonts w:ascii="Calibri" w:hAnsi="Calibri"/>
          <w:b w:val="0"/>
          <w:sz w:val="22"/>
        </w:rPr>
        <w:t>Dr. Markus Haverkamp — Geschäftsführer (technisch)</w:t>
      </w:r>
    </w:p>
    <w:p>
      <w:r>
        <w:rPr>
          <w:rFonts w:ascii="Calibri" w:hAnsi="Calibri"/>
          <w:b w:val="0"/>
          <w:sz w:val="22"/>
        </w:rPr>
        <w:t>Sandra Vielhaber — Geschäftsführerin (kaufmännisch)</w:t>
      </w:r>
    </w:p>
    <w:p>
      <w:pPr>
        <w:spacing w:before="40" w:after="80"/>
      </w:pPr>
      <w:r>
        <w:rPr>
          <w:rFonts w:ascii="Calibri" w:hAnsi="Calibri"/>
          <w:b w:val="0"/>
          <w:sz w:val="22"/>
        </w:rPr>
        <w:t>Anlagen: 1. Lageplan — 2. Verfahrensfließbild — 3. Datenblatt CT-600 — 4. Ausbreitungsrechnung — 5. Schallprognose — 6. Abfallkonzept — 7. Wartungsprotokoll — 8. HR-Auszug — 9. Vollmacht</w:t>
      </w:r>
    </w:p>
    <w:p/>
    <w:p>
      <w:pPr>
        <w:spacing w:before="400"/>
      </w:pPr>
      <w:r>
        <w:rPr>
          <w:rFonts w:ascii="Calibri" w:hAnsi="Calibri"/>
          <w:b w:val="0"/>
          <w:color w:val="787878"/>
          <w:sz w:val="18"/>
        </w:rPr>
        <w:t>Dieses Dokument ist ein fiktives Beispieldokument für Ausbildungszwecke. Alle Angaben zu Personen, Unternehmen und Behörden sind erfunden. Es ersetzt keine Rechtsberatung.</w:t>
      </w:r>
    </w:p>
    <w:sectPr w:rsidR="00FC693F" w:rsidRPr="0006063C" w:rsidSect="00034616">
      <w:headerReference w:type="default" r:id="rId9"/>
      <w:pgSz w:w="12240" w:h="15840"/>
      <w:pgMar w:top="1417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Calibri" w:hAnsi="Calibri"/>
        <w:b w:val="0"/>
        <w:sz w:val="18"/>
      </w:rPr>
      <w:t>Az. BR-K/6-52.4/2026-031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