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sz w:val="28"/>
        </w:rPr>
        <w:t>Rheinland Spezialchemie GmbH</w:t>
      </w:r>
    </w:p>
    <w:p>
      <w:pPr>
        <w:spacing w:after="0"/>
      </w:pPr>
      <w:r>
        <w:rPr>
          <w:rFonts w:ascii="Calibri" w:hAnsi="Calibri"/>
          <w:b w:val="0"/>
          <w:sz w:val="20"/>
        </w:rPr>
        <w:t>Industriestraße 47 · 50389 Wesseling</w:t>
      </w:r>
    </w:p>
    <w:p>
      <w:pPr>
        <w:spacing w:after="0"/>
      </w:pPr>
      <w:r>
        <w:rPr>
          <w:rFonts w:ascii="Calibri" w:hAnsi="Calibri"/>
          <w:b w:val="0"/>
          <w:sz w:val="20"/>
        </w:rPr>
        <w:t>Tel. 02236 8411-0 · info@rs-spezialchemie.de</w:t>
      </w:r>
    </w:p>
    <w:p/>
    <w:p>
      <w:r>
        <w:rPr>
          <w:rFonts w:ascii="Calibri" w:hAnsi="Calibri"/>
          <w:b/>
          <w:sz w:val="22"/>
        </w:rPr>
        <w:t>Deutsche Emissionshandelsstelle (DEHSt)</w:t>
      </w:r>
      <w:r>
        <w:br/>
      </w:r>
      <w:r>
        <w:rPr>
          <w:rFonts w:ascii="Calibri" w:hAnsi="Calibri"/>
          <w:b w:val="0"/>
          <w:sz w:val="22"/>
        </w:rPr>
        <w:t>im Umweltbundesamt</w:t>
      </w:r>
      <w:r>
        <w:br/>
      </w:r>
      <w:r>
        <w:rPr>
          <w:rFonts w:ascii="Calibri" w:hAnsi="Calibri"/>
          <w:b w:val="0"/>
          <w:sz w:val="22"/>
        </w:rPr>
        <w:t>Wörlitzer Platz 1</w:t>
      </w:r>
      <w:r>
        <w:br/>
      </w:r>
      <w:r>
        <w:rPr>
          <w:rFonts w:ascii="Calibri" w:hAnsi="Calibri"/>
          <w:b w:val="0"/>
          <w:sz w:val="22"/>
        </w:rPr>
        <w:t>06844 Dessau-Roßlau</w:t>
      </w:r>
    </w:p>
    <w:p/>
    <w:p>
      <w:pPr>
        <w:jc w:val="right"/>
      </w:pPr>
      <w:r>
        <w:rPr>
          <w:rFonts w:ascii="Calibri" w:hAnsi="Calibri"/>
          <w:b w:val="0"/>
          <w:sz w:val="22"/>
        </w:rPr>
        <w:t>Wesseling, 20. März 2026</w:t>
      </w:r>
    </w:p>
    <w:p/>
    <w:p>
      <w:r>
        <w:rPr>
          <w:rFonts w:ascii="Calibri" w:hAnsi="Calibri"/>
          <w:b/>
          <w:sz w:val="22"/>
        </w:rPr>
        <w:t xml:space="preserve">Betreff: </w:t>
      </w:r>
      <w:r>
        <w:rPr>
          <w:rFonts w:ascii="Calibri" w:hAnsi="Calibri"/>
          <w:b/>
          <w:sz w:val="22"/>
        </w:rPr>
        <w:t>Mitteilung Anlagenänderung und Antrag auf Genehmigung Monitoring-Plan-Revision 4 (§ 6 Abs. 2 TEHG)</w:t>
      </w:r>
    </w:p>
    <w:p>
      <w:pPr>
        <w:spacing w:after="200"/>
      </w:pPr>
      <w:r>
        <w:rPr>
          <w:rFonts w:ascii="Calibri" w:hAnsi="Calibri"/>
          <w:b w:val="0"/>
          <w:sz w:val="20"/>
        </w:rPr>
        <w:t>Aktenzeichen: RS-GmbH/TEHG/L4/2026-01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Sehr geehrte Damen und Herren,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wir zeigen Ihnen gemäß § 6 Abs. 2 TEHG die geplante Änderung unserer TEHG-pflichtigen Anlage an und beantragen die Genehmigung einer aktualisierten Fassung des Monitoring-Plans (Revision 4).</w:t>
      </w:r>
    </w:p>
    <w:p>
      <w:pPr>
        <w:spacing w:before="240" w:after="80"/>
      </w:pPr>
      <w:r>
        <w:rPr>
          <w:rFonts w:ascii="Calibri" w:hAnsi="Calibri"/>
          <w:b/>
          <w:sz w:val="24"/>
        </w:rPr>
        <w:t>1. Beschreibung der Anlagenänderung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Die RS GmbH erweitert am Standort Werk Nord die Produktionslinie 4 um eine neue Inline-Trocknungsstufe (Schaufeltrockner Hosokawa Alpine CT-600). Inbetriebnahme: 1. August 2026. Die Anlage wird über das bestehende Dampfnetz des Kesselhauses HKW-2 (24 MW FWL, TEHG-Anlage) versorgt.</w:t>
      </w:r>
    </w:p>
    <w:p>
      <w:pPr>
        <w:spacing w:before="240" w:after="80"/>
      </w:pPr>
      <w:r>
        <w:rPr>
          <w:rFonts w:ascii="Calibri" w:hAnsi="Calibri"/>
          <w:b/>
          <w:sz w:val="24"/>
        </w:rPr>
        <w:t>2. Auswirkungen auf die Emissionen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Erdgasmehrverbrauch: ca. 337.000 Nm³/a (± 10 %), entsprechend ca. 717 t CO₂/a. Gesamtemissionen steigen auf ca. 18.600–18.700 t CO₂/a. Eine wesentliche Kapazitätsänderung i. S. d. Art. 20 VO (EU) 2019/331 liegt nicht vor (Kapazitätszunahme ca. 4,2 %, absolut &lt; 50.000 t CO₂/a).</w:t>
      </w:r>
    </w:p>
    <w:p>
      <w:pPr>
        <w:spacing w:before="240" w:after="80"/>
      </w:pPr>
      <w:r>
        <w:rPr>
          <w:rFonts w:ascii="Calibri" w:hAnsi="Calibri"/>
          <w:b/>
          <w:sz w:val="24"/>
        </w:rPr>
        <w:t>3. Historische Zuteilungs- und Emissionsübersicht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417"/>
          </w:tcPr>
          <w:p>
            <w:r>
              <w:rPr>
                <w:rFonts w:ascii="Calibri" w:hAnsi="Calibri"/>
                <w:b/>
                <w:sz w:val="20"/>
              </w:rPr>
              <w:t>Jahr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/>
                <w:sz w:val="20"/>
              </w:rPr>
              <w:t>Zuteilung (t CO₂)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/>
                <w:sz w:val="20"/>
              </w:rPr>
              <w:t>Emissionen (t CO₂)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/>
                <w:sz w:val="20"/>
              </w:rPr>
              <w:t>Saldo</w:t>
            </w:r>
          </w:p>
        </w:tc>
      </w:tr>
      <w:tr>
        <w:tc>
          <w:tcPr>
            <w:tcW w:type="dxa" w:w="1417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</w:tr>
      <w:tr>
        <w:tc>
          <w:tcPr>
            <w:tcW w:type="dxa" w:w="1417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</w:tr>
      <w:tr>
        <w:tc>
          <w:tcPr>
            <w:tcW w:type="dxa" w:w="1417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</w:tr>
      <w:tr>
        <w:tc>
          <w:tcPr>
            <w:tcW w:type="dxa" w:w="1417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</w:tr>
      <w:tr>
        <w:tc>
          <w:tcPr>
            <w:tcW w:type="dxa" w:w="1417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  <w:tc>
          <w:tcPr>
            <w:tcW w:type="dxa" w:w="2551"/>
          </w:tcPr>
          <w:p/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2021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18.430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17.920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+ 510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2022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18.430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18.670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− 240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2023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17.810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18.010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− 200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2024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17.810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17.480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+ 330</w:t>
            </w:r>
          </w:p>
        </w:tc>
      </w:tr>
      <w:tr>
        <w:tc>
          <w:tcPr>
            <w:tcW w:type="dxa" w:w="1417"/>
          </w:tcPr>
          <w:p>
            <w:r>
              <w:rPr>
                <w:rFonts w:ascii="Calibri" w:hAnsi="Calibri"/>
                <w:b w:val="0"/>
                <w:sz w:val="20"/>
              </w:rPr>
              <w:t>2025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17.200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17.950</w:t>
            </w:r>
          </w:p>
        </w:tc>
        <w:tc>
          <w:tcPr>
            <w:tcW w:type="dxa" w:w="2551"/>
          </w:tcPr>
          <w:p>
            <w:r>
              <w:rPr>
                <w:rFonts w:ascii="Calibri" w:hAnsi="Calibri"/>
                <w:b w:val="0"/>
                <w:sz w:val="20"/>
              </w:rPr>
              <w:t>− 750</w:t>
            </w:r>
          </w:p>
        </w:tc>
      </w:tr>
    </w:tbl>
    <w:p/>
    <w:p>
      <w:pPr>
        <w:spacing w:before="240" w:after="80"/>
      </w:pPr>
      <w:r>
        <w:rPr>
          <w:rFonts w:ascii="Calibri" w:hAnsi="Calibri"/>
          <w:b/>
          <w:sz w:val="24"/>
        </w:rPr>
        <w:t>4. Änderungen im Monitoring-Plan (Übersicht)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835"/>
          </w:tcPr>
          <w:p>
            <w:r>
              <w:rPr>
                <w:rFonts w:ascii="Calibri" w:hAnsi="Calibri"/>
                <w:b/>
                <w:sz w:val="20"/>
              </w:rPr>
              <w:t>Position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/>
                <w:sz w:val="20"/>
              </w:rPr>
              <w:t>Bisheriger Stand</w:t>
            </w:r>
          </w:p>
        </w:tc>
        <w:tc>
          <w:tcPr>
            <w:tcW w:type="dxa" w:w="3685"/>
          </w:tcPr>
          <w:p>
            <w:r>
              <w:rPr>
                <w:rFonts w:ascii="Calibri" w:hAnsi="Calibri"/>
                <w:b/>
                <w:sz w:val="20"/>
              </w:rPr>
              <w:t>Geplante Änderung</w:t>
            </w:r>
          </w:p>
        </w:tc>
      </w:tr>
      <w:tr>
        <w:tc>
          <w:tcPr>
            <w:tcW w:type="dxa" w:w="2835"/>
          </w:tcPr>
          <w:p/>
        </w:tc>
        <w:tc>
          <w:tcPr>
            <w:tcW w:type="dxa" w:w="3118"/>
          </w:tcPr>
          <w:p/>
        </w:tc>
        <w:tc>
          <w:tcPr>
            <w:tcW w:type="dxa" w:w="3685"/>
          </w:tcPr>
          <w:p/>
        </w:tc>
      </w:tr>
      <w:tr>
        <w:tc>
          <w:tcPr>
            <w:tcW w:type="dxa" w:w="2835"/>
          </w:tcPr>
          <w:p/>
        </w:tc>
        <w:tc>
          <w:tcPr>
            <w:tcW w:type="dxa" w:w="3118"/>
          </w:tcPr>
          <w:p/>
        </w:tc>
        <w:tc>
          <w:tcPr>
            <w:tcW w:type="dxa" w:w="3685"/>
          </w:tcPr>
          <w:p/>
        </w:tc>
      </w:tr>
      <w:tr>
        <w:tc>
          <w:tcPr>
            <w:tcW w:type="dxa" w:w="2835"/>
          </w:tcPr>
          <w:p/>
        </w:tc>
        <w:tc>
          <w:tcPr>
            <w:tcW w:type="dxa" w:w="3118"/>
          </w:tcPr>
          <w:p/>
        </w:tc>
        <w:tc>
          <w:tcPr>
            <w:tcW w:type="dxa" w:w="3685"/>
          </w:tcPr>
          <w:p/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sz w:val="20"/>
              </w:rPr>
              <w:t>Abschn. 4.2 — Verbrauchsstellen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VS-01 bis VS-14</w:t>
            </w:r>
          </w:p>
        </w:tc>
        <w:tc>
          <w:tcPr>
            <w:tcW w:type="dxa" w:w="3685"/>
          </w:tcPr>
          <w:p>
            <w:r>
              <w:rPr>
                <w:rFonts w:ascii="Calibri" w:hAnsi="Calibri"/>
                <w:b w:val="0"/>
                <w:sz w:val="20"/>
              </w:rPr>
              <w:t>Ergänzung VS-15 'Schaufeltrockner CT-600'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sz w:val="20"/>
              </w:rPr>
              <w:t>Abschn. 6 — Messung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Gesamtzähler HKW-2 Kl. 1,5</w:t>
            </w:r>
          </w:p>
        </w:tc>
        <w:tc>
          <w:tcPr>
            <w:tcW w:type="dxa" w:w="3685"/>
          </w:tcPr>
          <w:p>
            <w:r>
              <w:rPr>
                <w:rFonts w:ascii="Calibri" w:hAnsi="Calibri"/>
                <w:b w:val="0"/>
                <w:sz w:val="20"/>
              </w:rPr>
              <w:t>Zusätzlicher Unterzähler VS-15, Kl. 1,5 (MID)</w:t>
            </w:r>
          </w:p>
        </w:tc>
      </w:tr>
      <w:tr>
        <w:tc>
          <w:tcPr>
            <w:tcW w:type="dxa" w:w="2835"/>
          </w:tcPr>
          <w:p>
            <w:r>
              <w:rPr>
                <w:rFonts w:ascii="Calibri" w:hAnsi="Calibri"/>
                <w:b w:val="0"/>
                <w:sz w:val="20"/>
              </w:rPr>
              <w:t>Abschn. 9 — Berichterstattung</w:t>
            </w:r>
          </w:p>
        </w:tc>
        <w:tc>
          <w:tcPr>
            <w:tcW w:type="dxa" w:w="3118"/>
          </w:tcPr>
          <w:p>
            <w:r>
              <w:rPr>
                <w:rFonts w:ascii="Calibri" w:hAnsi="Calibri"/>
                <w:b w:val="0"/>
                <w:sz w:val="20"/>
              </w:rPr>
              <w:t>Gesamtgasverbrauch</w:t>
            </w:r>
          </w:p>
        </w:tc>
        <w:tc>
          <w:tcPr>
            <w:tcW w:type="dxa" w:w="3685"/>
          </w:tcPr>
          <w:p>
            <w:r>
              <w:rPr>
                <w:rFonts w:ascii="Calibri" w:hAnsi="Calibri"/>
                <w:b w:val="0"/>
                <w:sz w:val="20"/>
              </w:rPr>
              <w:t>Aufteilung Gesamt / VS-15</w:t>
            </w:r>
          </w:p>
        </w:tc>
      </w:tr>
    </w:tbl>
    <w:p/>
    <w:p>
      <w:pPr>
        <w:spacing w:before="240" w:after="80"/>
      </w:pPr>
      <w:r>
        <w:rPr>
          <w:rFonts w:ascii="Calibri" w:hAnsi="Calibri"/>
          <w:b/>
          <w:sz w:val="24"/>
        </w:rPr>
        <w:t>5. Einreichungsfristen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Vollständig überarbeiteter Monitoring-Plan (Revision 4) wird bis spätestens 30. Juni 2026 in der DEHSt-Datenbank BISKO eingereicht. Prüferklärung des akkreditierten Prüfers Öko-Audit GmbH (DE-V-0041) wird beigefügt.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Für Rückfragen: Dr.-Ing. Felix Bergerhausen, Tel. 02236 8411-301.</w:t>
      </w:r>
    </w:p>
    <w:p/>
    <w:p>
      <w:r>
        <w:rPr>
          <w:rFonts w:ascii="Calibri" w:hAnsi="Calibri"/>
          <w:b/>
          <w:sz w:val="22"/>
        </w:rPr>
        <w:t>Rheinland Spezialchemie GmbH</w:t>
      </w:r>
    </w:p>
    <w:p>
      <w:r>
        <w:rPr>
          <w:rFonts w:ascii="Calibri" w:hAnsi="Calibri"/>
          <w:b w:val="0"/>
          <w:sz w:val="22"/>
        </w:rPr>
        <w:t>Dr. Markus Haverkamp — Geschäftsführer (technisch)</w:t>
      </w:r>
    </w:p>
    <w:p>
      <w:pPr>
        <w:spacing w:before="40" w:after="80"/>
      </w:pPr>
      <w:r>
        <w:rPr>
          <w:rFonts w:ascii="Calibri" w:hAnsi="Calibri"/>
          <w:b w:val="0"/>
          <w:sz w:val="22"/>
        </w:rPr>
        <w:t>Anlagen: 1. Geänderte Abschnitte MP Rev. 4 (vorab) — 2. Datenblatt CT-600 — 3. CO₂-Berechnung</w:t>
      </w:r>
    </w:p>
    <w:p/>
    <w:p>
      <w:pPr>
        <w:spacing w:before="400"/>
      </w:pPr>
      <w:r>
        <w:rPr>
          <w:rFonts w:ascii="Calibri" w:hAnsi="Calibri"/>
          <w:b w:val="0"/>
          <w:color w:val="787878"/>
          <w:sz w:val="18"/>
        </w:rPr>
        <w:t>Dieses Dokument ist ein fiktives Beispieldokument für Ausbildungszwecke. Alle Angaben zu Personen, Unternehmen und Behörden sind erfunden. Es ersetzt keine Rechtsberatung.</w:t>
      </w:r>
    </w:p>
    <w:sectPr w:rsidR="00FC693F" w:rsidRPr="0006063C" w:rsidSect="00034616">
      <w:headerReference w:type="default" r:id="rId9"/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 w:val="0"/>
        <w:sz w:val="18"/>
      </w:rPr>
      <w:t>Anlage-ID: DE-RS-GmbH-0047-2021 | MP-ID: DEHSt-2021-04891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