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0"/>
      </w:pPr>
      <w:r>
        <w:rPr>
          <w:rFonts w:ascii="Calibri" w:hAnsi="Calibri"/>
          <w:sz w:val="22"/>
        </w:rPr>
        <w:t>STADT FRIEDRICHSHÖFE</w:t>
      </w:r>
    </w:p>
    <w:p>
      <w:pPr>
        <w:ind w:left="0"/>
      </w:pPr>
      <w:r>
        <w:rPr>
          <w:rFonts w:ascii="Calibri" w:hAnsi="Calibri"/>
          <w:sz w:val="22"/>
        </w:rPr>
        <w:t>Stadtrat – Öffentliche Sitzung vom 24. September 2024</w:t>
      </w:r>
    </w:p>
    <w:p>
      <w:pPr>
        <w:ind w:left="0"/>
      </w:pPr>
      <w:r>
        <w:rPr>
          <w:rFonts w:ascii="Calibri" w:hAnsi="Calibri"/>
          <w:sz w:val="22"/>
        </w:rPr>
        <w:t>Drucksachen-Nr. DS-2024/0847</w:t>
      </w:r>
    </w:p>
    <w:p>
      <w:pPr>
        <w:ind w:left="0"/>
      </w:pPr>
      <w:r>
        <w:rPr>
          <w:rFonts w:ascii="Calibri" w:hAnsi="Calibri"/>
          <w:sz w:val="22"/>
        </w:rPr>
        <w:t>Dezernat III – Bau, Verkehr, Stadtentwicklung</w:t>
      </w:r>
    </w:p>
    <w:p/>
    <w:p>
      <w:pPr>
        <w:spacing w:before="200" w:after="80"/>
      </w:pPr>
      <w:r>
        <w:rPr>
          <w:rFonts w:ascii="Calibri" w:hAnsi="Calibri"/>
          <w:b/>
          <w:sz w:val="28"/>
        </w:rPr>
        <w:t>Beschlussvorlage: Verlängerung der Straßenbahnlinie 7 (Westast)</w:t>
      </w:r>
    </w:p>
    <w:p>
      <w:pPr>
        <w:spacing w:before="120" w:after="80"/>
      </w:pPr>
      <w:r>
        <w:rPr>
          <w:rFonts w:ascii="Calibri" w:hAnsi="Calibri"/>
          <w:b/>
          <w:color w:val="505050"/>
          <w:sz w:val="24"/>
        </w:rPr>
        <w:t>Beauftragung Planfeststellungsverfahren, Variantenprüfung und Fördermittelakquise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120" w:after="80"/>
      </w:pPr>
      <w:r>
        <w:rPr>
          <w:rFonts w:ascii="Calibri" w:hAnsi="Calibri"/>
          <w:b/>
          <w:sz w:val="24"/>
        </w:rPr>
        <w:t>I. Tenor (Beschlusstext)</w:t>
      </w:r>
    </w:p>
    <w:p>
      <w:pPr>
        <w:spacing w:after="80"/>
      </w:pPr>
      <w:r>
        <w:rPr>
          <w:rFonts w:ascii="Calibri" w:hAnsi="Calibri"/>
          <w:b/>
          <w:i w:val="0"/>
          <w:sz w:val="22"/>
        </w:rPr>
        <w:t>Der Stadtrat der Stadt Friedrichshöfe beschließt:</w:t>
      </w:r>
    </w:p>
    <w:p/>
    <w:p>
      <w:pPr>
        <w:spacing w:after="40"/>
      </w:pPr>
      <w:r>
        <w:rPr>
          <w:rFonts w:ascii="Calibri" w:hAnsi="Calibri"/>
          <w:b/>
          <w:i w:val="0"/>
          <w:sz w:val="22"/>
        </w:rPr>
        <w:t>1. Einleitung Planfeststellungsverfahren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Die Verwaltung wird beauftragt, gemeinsam mit den Verkehrsbetrieben Friedrichshöfe GmbH (VBF) das Planfeststellungsverfahren nach § 28 PBefG i.V.m. dem Landesstraßenbahngesetz NRW für die Verlängerung der Straßenbahnlinie 7 (Westast) einzuleiten. Die Bezirksregierung Westmark wird als zuständige Planfeststellungsbehörde angeschrieben. Die VBF wird zur Antragstellerin bestimmt; das Planungsamt übernimmt die Verfahrenskoordinierung auf kommunaler Seite.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2. Variantenprüfung und Vorzugsvariante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Der Stadtrat nimmt die Ergebnisse der Vorplanung zur Kenntnis und beauftragt die Verwaltung, Variante B (Trasse Gartenstraße – Siemensring – Westpark-Boulevard) als Vorzugsvariante in die Planfeststellungsunterlagen einzuarbeiten.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3. Bürgerbeteiligung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Die Verwaltung wird beauftragt, über die gesetzliche Auslegung hinaus eine frühzeitige Bürgerbeteiligung durchzuführen und bis zum 31. März 2025 eine Informationsveranstaltung zu organisieren.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4. Fördermittelakquise GVFG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Die Verwaltung wird beauftragt, unverzüglich einen Antrag auf Bundesförderung nach dem Gemeindeverkehrsfinanzierungsgesetz (GVFG) zu stellen. Der Fördersatz von bis zu 75 % soll angestrebt werden.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5. Ladeinfrastruktur E-Mobilität (Grundsatzbeschluss)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Die Verwaltung wird beauftragt, die rechtlichen Voraussetzungen für Sondernutzungserlaubnisse zu klären, das Betreibermodell (SWF vs. CPO) zu evaluieren und dem ASV bis zum 30. Juni 2025 vorzulegen.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6. Schulwegsicherheit Grundschule Nord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Die Verwaltung wird beauftragt, ein Maßnahmenpaket zur Schulwegsicherheit zu erarbeiten und bis zum 31. März 2025 vorzulegen. Tempo 30 und bauliche Querungshilfen sind vorrangig zu prüfen.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120" w:after="80"/>
      </w:pPr>
      <w:r>
        <w:rPr>
          <w:rFonts w:ascii="Calibri" w:hAnsi="Calibri"/>
          <w:b/>
          <w:sz w:val="24"/>
        </w:rPr>
        <w:t>II. Begründung (Kurzfassung)</w:t>
      </w:r>
    </w:p>
    <w:p>
      <w:pPr>
        <w:spacing w:before="120" w:after="80"/>
      </w:pPr>
      <w:r>
        <w:rPr>
          <w:rFonts w:ascii="Calibri" w:hAnsi="Calibri"/>
          <w:b/>
          <w:sz w:val="22"/>
        </w:rPr>
        <w:t>Variantenvergleich A / B / 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9"/>
        <w:gridCol w:w="2309"/>
        <w:gridCol w:w="2309"/>
        <w:gridCol w:w="2309"/>
      </w:tblGrid>
      <w:tr>
        <w:tc>
          <w:tcPr>
            <w:tcW w:type="dxa" w:w="2268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Kriterium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Variante A</w:t>
            </w:r>
          </w:p>
        </w:tc>
        <w:tc>
          <w:tcPr>
            <w:tcW w:type="dxa" w:w="1984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Variante B (Vorzug)</w:t>
            </w:r>
          </w:p>
        </w:tc>
        <w:tc>
          <w:tcPr>
            <w:tcW w:type="dxa" w:w="1984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Variante C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Länge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2,51 km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2,64 km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2,78 km (inkl. Tunnel)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Kosten (brutto)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34,2 Mio. €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38,5 Mio. €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52,1 Mio. €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Bauzeit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ca. 18 Monate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ca. 22 Monate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ca. 30 Monate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Baumeingriff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26 Linden (Entfall)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4 Bäume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0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Grunderwerb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gering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Parzelle 7/12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gering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GVFG-Förderung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60–75 %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60 %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&lt; 60 % (zu teuer)</w:t>
            </w:r>
          </w:p>
        </w:tc>
      </w:tr>
      <w:tr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Gesamtpunkte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63/100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78/100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71/100</w:t>
            </w:r>
          </w:p>
        </w:tc>
      </w:tr>
    </w:tbl>
    <w:p/>
    <w:p>
      <w:pPr>
        <w:spacing w:after="80"/>
      </w:pPr>
      <w:r>
        <w:rPr>
          <w:rFonts w:ascii="Calibri" w:hAnsi="Calibri"/>
          <w:b w:val="0"/>
          <w:i/>
          <w:sz w:val="22"/>
        </w:rPr>
        <w:t>Variante B erzielt in der Abwägungsmatrix die höchste Gesamtpunktzahl und verbindet gute Erschließungswirkung mit vertretbarem Umwelteingriff und GVFG-Fähigkeit.</w:t>
      </w:r>
    </w:p>
    <w:p>
      <w:pPr>
        <w:spacing w:before="120" w:after="80"/>
      </w:pPr>
      <w:r>
        <w:rPr>
          <w:rFonts w:ascii="Calibri" w:hAnsi="Calibri"/>
          <w:b/>
          <w:sz w:val="22"/>
        </w:rPr>
        <w:t>Finanzierung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Gesamtkosten: ca. 38,5 Mio. Euro (brutto). GVFG-Bundesförderung bis zu 60 % (ca. 23,1 Mio. Euro). Städtischer Eigenanteil: ca. 15,4 Mio. Euro über Kreditaufnahme (Nachtragshaushalt 2026).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120" w:after="80"/>
      </w:pPr>
      <w:r>
        <w:rPr>
          <w:rFonts w:ascii="Calibri" w:hAnsi="Calibri"/>
          <w:b/>
          <w:sz w:val="24"/>
        </w:rPr>
        <w:t>III. Anlagen</w:t>
      </w:r>
    </w:p>
    <w:p>
      <w:pPr>
        <w:pStyle w:val="ListBullet"/>
      </w:pPr>
      <w:r>
        <w:rPr>
          <w:rFonts w:ascii="Calibri" w:hAnsi="Calibri"/>
          <w:sz w:val="22"/>
        </w:rPr>
        <w:t>Anlage 1: Abwägungsmatrix Variantenvergleich A/B/C (Stand: Juli 2024)</w:t>
      </w:r>
    </w:p>
    <w:p>
      <w:pPr>
        <w:pStyle w:val="ListBullet"/>
      </w:pPr>
      <w:r>
        <w:rPr>
          <w:rFonts w:ascii="Calibri" w:hAnsi="Calibri"/>
          <w:sz w:val="22"/>
        </w:rPr>
        <w:t>Anlage 2: Übersichtslageplan Vorzugsvariante B (M 1:5.000)</w:t>
      </w:r>
    </w:p>
    <w:p>
      <w:pPr>
        <w:pStyle w:val="ListBullet"/>
      </w:pPr>
      <w:r>
        <w:rPr>
          <w:rFonts w:ascii="Calibri" w:hAnsi="Calibri"/>
          <w:sz w:val="22"/>
        </w:rPr>
        <w:t>Anlage 3: Kostenschätzung nach DIN 276 (Stand: August 2024)</w:t>
      </w:r>
    </w:p>
    <w:p>
      <w:pPr>
        <w:pStyle w:val="ListBullet"/>
      </w:pPr>
      <w:r>
        <w:rPr>
          <w:rFonts w:ascii="Calibri" w:hAnsi="Calibri"/>
          <w:sz w:val="22"/>
        </w:rPr>
        <w:t>Anlage 4: Stellungnahme VBF GmbH vom 14.08.2024</w:t>
      </w:r>
    </w:p>
    <w:p>
      <w:pPr>
        <w:pStyle w:val="ListBullet"/>
      </w:pPr>
      <w:r>
        <w:rPr>
          <w:rFonts w:ascii="Calibri" w:hAnsi="Calibri"/>
          <w:sz w:val="22"/>
        </w:rPr>
        <w:t>Anlage 5: Beschluss ASV vom 10.09.2024</w:t>
      </w:r>
    </w:p>
    <w:p>
      <w:pPr>
        <w:pStyle w:val="ListBullet"/>
      </w:pPr>
      <w:r>
        <w:rPr>
          <w:rFonts w:ascii="Calibri" w:hAnsi="Calibri"/>
          <w:sz w:val="22"/>
        </w:rPr>
        <w:t>Anlage 6: Konzept SWF Ladeinfrastruktur (Stand: Juni 2024)</w:t>
      </w:r>
    </w:p>
    <w:p/>
    <w:p>
      <w:pPr>
        <w:spacing w:after="80"/>
      </w:pPr>
      <w:r>
        <w:rPr>
          <w:rFonts w:ascii="Calibri" w:hAnsi="Calibri"/>
          <w:b w:val="0"/>
          <w:i/>
          <w:sz w:val="20"/>
        </w:rPr>
        <w:t>Gez. Stadtdirektor Dr. Markus Frenzel | Planungsamt – Amtsleitung: Dipl.-Ing. Sabine Kreutzmann</w:t>
      </w:r>
    </w:p>
    <w:p>
      <w:pPr>
        <w:spacing w:after="80"/>
      </w:pPr>
      <w:r>
        <w:rPr>
          <w:rFonts w:ascii="Calibri" w:hAnsi="Calibri"/>
          <w:b w:val="0"/>
          <w:i w:val="0"/>
          <w:sz w:val="20"/>
        </w:rPr>
        <w:t>Friedrichshöfe, 05. September 2024</w:t>
      </w:r>
    </w:p>
    <w:sectPr w:rsidR="00FC693F" w:rsidRPr="0006063C" w:rsidSect="00034616">
      <w:headerReference w:type="default" r:id="rId9"/>
      <w:pgSz w:w="12240" w:h="15840"/>
      <w:pgMar w:top="1417" w:right="1417" w:bottom="1417" w:left="15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  <w:tabs>
        <w:tab w:val="right" w:pos="9072"/>
      </w:tabs>
    </w:pPr>
    <w:r>
      <w:rPr>
        <w:rFonts w:ascii="Calibri" w:hAnsi="Calibri"/>
        <w:sz w:val="18"/>
      </w:rPr>
      <w:t>Stadt Friedrichshöfe – Stadtrat</w:t>
    </w:r>
    <w:r>
      <w:tab/>
    </w:r>
    <w:r>
      <w:rPr>
        <w:rFonts w:ascii="Calibri" w:hAnsi="Calibri"/>
        <w:b/>
        <w:sz w:val="18"/>
      </w:rPr>
      <w:t>AZ: PA-2024-L7-0091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