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left="0"/>
      </w:pPr>
      <w:r>
        <w:rPr>
          <w:rFonts w:ascii="Calibri" w:hAnsi="Calibri"/>
          <w:sz w:val="22"/>
        </w:rPr>
        <w:t>BUNDESMINISTERIUM FÜR DIGITALES UND VERKEHR (BMDV)</w:t>
      </w:r>
    </w:p>
    <w:p>
      <w:pPr>
        <w:ind w:left="0"/>
      </w:pPr>
      <w:r>
        <w:rPr>
          <w:rFonts w:ascii="Calibri" w:hAnsi="Calibri"/>
          <w:sz w:val="22"/>
        </w:rPr>
        <w:t>Referat A14 – Gemeindeverkehrsfinanzierung</w:t>
      </w:r>
    </w:p>
    <w:p>
      <w:pPr>
        <w:ind w:left="0"/>
      </w:pPr>
      <w:r>
        <w:rPr>
          <w:rFonts w:ascii="Calibri" w:hAnsi="Calibri"/>
          <w:sz w:val="22"/>
        </w:rPr>
        <w:t>Invalidenstraße 44, 10115 Berlin</w:t>
      </w:r>
    </w:p>
    <w:p>
      <w:pPr>
        <w:ind w:left="0"/>
      </w:pPr>
      <w:r>
        <w:rPr>
          <w:rFonts w:ascii="Calibri" w:hAnsi="Calibri"/>
          <w:sz w:val="22"/>
        </w:rPr>
        <w:t>Datum: 18. Dezember 2026 | AZ: BMDV-A14-2025-0478-FR</w:t>
      </w:r>
    </w:p>
    <w:p/>
    <w:p>
      <w:pPr>
        <w:spacing w:before="200" w:after="80"/>
      </w:pPr>
      <w:r>
        <w:rPr>
          <w:rFonts w:ascii="Calibri" w:hAnsi="Calibri"/>
          <w:b/>
          <w:color w:val="000050"/>
          <w:sz w:val="32"/>
        </w:rPr>
        <w:t>ZUWENDUNGSBESCHEID</w:t>
      </w:r>
    </w:p>
    <w:p>
      <w:pPr>
        <w:spacing w:before="120" w:after="80"/>
      </w:pPr>
      <w:r>
        <w:rPr>
          <w:rFonts w:ascii="Calibri" w:hAnsi="Calibri"/>
          <w:b/>
          <w:sz w:val="24"/>
        </w:rPr>
        <w:t>nach § 2 Abs. 1 GVFG-Bundesprogramm</w:t>
        <w:br/>
        <w:t>Verlängerung Straßenbahnlinie 7 Westast, Stadt Friedrichshöfe</w:t>
      </w:r>
    </w:p>
    <w:p>
      <w:pPr>
        <w:spacing w:after="80"/>
      </w:pPr>
      <w:r>
        <w:rPr>
          <w:rFonts w:ascii="Calibri" w:hAnsi="Calibri"/>
          <w:b/>
          <w:i w:val="0"/>
          <w:sz w:val="22"/>
        </w:rPr>
        <w:t>Zuwendungsempfängerin: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Stadt Friedrichshöfe, vertreten durch den Stadtdirektor, Planungsamt AZ PA-2024-L7-0091,</w:t>
        <w:br/>
        <w:t>Rathausplatz 1, 47112 Friedrichshöfe</w:t>
      </w:r>
    </w:p>
    <w:p>
      <w:pPr>
        <w:spacing w:before="40" w:after="40"/>
        <w:pBdr>
          <w:bottom w:val="single" w:sz="6" w:space="1" w:color="auto"/>
        </w:pBdr>
      </w:pPr>
    </w:p>
    <w:p/>
    <w:p>
      <w:pPr>
        <w:spacing w:before="120" w:after="80"/>
      </w:pPr>
      <w:r>
        <w:rPr>
          <w:rFonts w:ascii="Calibri" w:hAnsi="Calibri"/>
          <w:b/>
          <w:sz w:val="24"/>
        </w:rPr>
        <w:t>1. Tenor (Bewilligung)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Das Bundesministerium für Digitales und Verkehr bewilligt der Stadt Friedrichshöfe auf Basis des Antrags vom 04. März 2026 und der Ergänzungsunterlagen vom 19. September 2026 eine Bundeszuwendung nach dem GVFG-Bundesprogramm sowie den §§ 23 und 44 BHO in folgender Höhe:</w:t>
      </w:r>
    </w:p>
    <w:p>
      <w:pPr>
        <w:spacing w:before="120" w:after="120"/>
        <w:jc w:val="center"/>
      </w:pPr>
      <w:r>
        <w:rPr>
          <w:rFonts w:ascii="Calibri" w:hAnsi="Calibri"/>
          <w:b/>
          <w:sz w:val="24"/>
        </w:rPr>
        <w:t>Bewilligter Förderrahmen: 23.100.000,00 Euro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Dies entspricht einem Fördersatz von 60 % der als zuwendungsfähig anerkannten Kosten in Höhe von 38.500.000,00 Euro (brutto). Der Zuwendungsbetrag ist gedeckelt; Kostensteigerungen begründen keinen Anspruch auf Erhöhung.</w:t>
      </w:r>
    </w:p>
    <w:p>
      <w:pPr>
        <w:spacing w:before="120" w:after="80"/>
      </w:pPr>
      <w:r>
        <w:rPr>
          <w:rFonts w:ascii="Calibri" w:hAnsi="Calibri"/>
          <w:b/>
          <w:sz w:val="24"/>
        </w:rPr>
        <w:t>2. Zuwendungsfähige Kosten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79"/>
        <w:gridCol w:w="3079"/>
        <w:gridCol w:w="3079"/>
      </w:tblGrid>
      <w:tr>
        <w:tc>
          <w:tcPr>
            <w:tcW w:type="dxa" w:w="4535"/>
          </w:tcPr>
          <w:p>
            <w:pPr>
              <w:jc w:val="center"/>
            </w:pPr>
            <w:r>
              <w:rPr>
                <w:rFonts w:ascii="Calibri" w:hAnsi="Calibri"/>
                <w:b/>
                <w:sz w:val="20"/>
              </w:rPr>
              <w:t>Kostenposition</w:t>
            </w:r>
          </w:p>
        </w:tc>
        <w:tc>
          <w:tcPr>
            <w:tcW w:type="dxa" w:w="2268"/>
          </w:tcPr>
          <w:p>
            <w:pPr>
              <w:jc w:val="center"/>
            </w:pPr>
            <w:r>
              <w:rPr>
                <w:rFonts w:ascii="Calibri" w:hAnsi="Calibri"/>
                <w:b/>
                <w:sz w:val="20"/>
              </w:rPr>
              <w:t>Netto (€)</w:t>
            </w:r>
          </w:p>
        </w:tc>
        <w:tc>
          <w:tcPr>
            <w:tcW w:type="dxa" w:w="2268"/>
          </w:tcPr>
          <w:p>
            <w:pPr>
              <w:jc w:val="center"/>
            </w:pPr>
            <w:r>
              <w:rPr>
                <w:rFonts w:ascii="Calibri" w:hAnsi="Calibri"/>
                <w:b/>
                <w:sz w:val="20"/>
              </w:rPr>
              <w:t>Brutto (€)</w:t>
            </w:r>
          </w:p>
        </w:tc>
      </w:tr>
      <w:tr>
        <w:tc>
          <w:tcPr>
            <w:tcW w:type="dxa" w:w="4535"/>
          </w:tcPr>
          <w:p>
            <w:r>
              <w:rPr>
                <w:rFonts w:ascii="Calibri" w:hAnsi="Calibri"/>
                <w:sz w:val="20"/>
              </w:rPr>
              <w:t>Grunderwerb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1.200.000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1.200.000</w:t>
            </w:r>
          </w:p>
        </w:tc>
      </w:tr>
      <w:tr>
        <w:tc>
          <w:tcPr>
            <w:tcW w:type="dxa" w:w="4535"/>
          </w:tcPr>
          <w:p>
            <w:r>
              <w:rPr>
                <w:rFonts w:ascii="Calibri" w:hAnsi="Calibri"/>
                <w:sz w:val="20"/>
              </w:rPr>
              <w:t>Erdbau / Gleisbau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14.700.000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17.493.000</w:t>
            </w:r>
          </w:p>
        </w:tc>
      </w:tr>
      <w:tr>
        <w:tc>
          <w:tcPr>
            <w:tcW w:type="dxa" w:w="4535"/>
          </w:tcPr>
          <w:p>
            <w:r>
              <w:rPr>
                <w:rFonts w:ascii="Calibri" w:hAnsi="Calibri"/>
                <w:sz w:val="20"/>
              </w:rPr>
              <w:t>Ingenieurbauwerke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3.200.000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3.808.000</w:t>
            </w:r>
          </w:p>
        </w:tc>
      </w:tr>
      <w:tr>
        <w:tc>
          <w:tcPr>
            <w:tcW w:type="dxa" w:w="4535"/>
          </w:tcPr>
          <w:p>
            <w:r>
              <w:rPr>
                <w:rFonts w:ascii="Calibri" w:hAnsi="Calibri"/>
                <w:sz w:val="20"/>
              </w:rPr>
              <w:t>Fahrleitungsanlage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2.800.000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3.332.000</w:t>
            </w:r>
          </w:p>
        </w:tc>
      </w:tr>
      <w:tr>
        <w:tc>
          <w:tcPr>
            <w:tcW w:type="dxa" w:w="4535"/>
          </w:tcPr>
          <w:p>
            <w:r>
              <w:rPr>
                <w:rFonts w:ascii="Calibri" w:hAnsi="Calibri"/>
                <w:sz w:val="20"/>
              </w:rPr>
              <w:t>Haltestellen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1.900.000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2.261.000</w:t>
            </w:r>
          </w:p>
        </w:tc>
      </w:tr>
      <w:tr>
        <w:tc>
          <w:tcPr>
            <w:tcW w:type="dxa" w:w="4535"/>
          </w:tcPr>
          <w:p>
            <w:r>
              <w:rPr>
                <w:rFonts w:ascii="Calibri" w:hAnsi="Calibri"/>
                <w:sz w:val="20"/>
              </w:rPr>
              <w:t>Elektrotechnik / LST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1.700.000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2.023.000</w:t>
            </w:r>
          </w:p>
        </w:tc>
      </w:tr>
      <w:tr>
        <w:tc>
          <w:tcPr>
            <w:tcW w:type="dxa" w:w="4535"/>
          </w:tcPr>
          <w:p>
            <w:r>
              <w:rPr>
                <w:rFonts w:ascii="Calibri" w:hAnsi="Calibri"/>
                <w:sz w:val="20"/>
              </w:rPr>
              <w:t>Ausgleichs-/Ersatzmaßnahmen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680.000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809.200</w:t>
            </w:r>
          </w:p>
        </w:tc>
      </w:tr>
      <w:tr>
        <w:tc>
          <w:tcPr>
            <w:tcW w:type="dxa" w:w="4535"/>
          </w:tcPr>
          <w:p>
            <w:r>
              <w:rPr>
                <w:rFonts w:ascii="Calibri" w:hAnsi="Calibri"/>
                <w:sz w:val="20"/>
              </w:rPr>
              <w:t>Planungskosten (max. 10 %)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2.680.000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3.189.200</w:t>
            </w:r>
          </w:p>
        </w:tc>
      </w:tr>
      <w:tr>
        <w:tc>
          <w:tcPr>
            <w:tcW w:type="dxa" w:w="4535"/>
          </w:tcPr>
          <w:p>
            <w:r>
              <w:rPr>
                <w:rFonts w:ascii="Calibri" w:hAnsi="Calibri"/>
                <w:sz w:val="20"/>
              </w:rPr>
              <w:t>Summe zuwendungsfähig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28.860.000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34.115.400</w:t>
            </w:r>
          </w:p>
        </w:tc>
      </w:tr>
    </w:tbl>
    <w:p/>
    <w:p>
      <w:pPr>
        <w:spacing w:before="120" w:after="80"/>
      </w:pPr>
      <w:r>
        <w:rPr>
          <w:rFonts w:ascii="Calibri" w:hAnsi="Calibri"/>
          <w:b/>
          <w:sz w:val="24"/>
        </w:rPr>
        <w:t>3. Bewilligungszeitraum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01. Januar 2027 bis 31. Dezember 2031. Baubeginn frühestens nach Bestandskraft des Planfeststellungsbeschlusses und schriftlichem Mittelabruf. Vorzeitiger Maßnahmenbeginn (Nr. 1.3 ANBest-G) ist nicht genehmigt.</w:t>
      </w:r>
    </w:p>
    <w:p>
      <w:pPr>
        <w:spacing w:before="120" w:after="80"/>
      </w:pPr>
      <w:r>
        <w:rPr>
          <w:rFonts w:ascii="Calibri" w:hAnsi="Calibri"/>
          <w:b/>
          <w:sz w:val="24"/>
        </w:rPr>
        <w:t>4. Ausgewählte Nebenbestimmungen</w:t>
      </w:r>
    </w:p>
    <w:p>
      <w:pPr>
        <w:spacing w:after="40"/>
      </w:pPr>
      <w:r>
        <w:rPr>
          <w:rFonts w:ascii="Calibri" w:hAnsi="Calibri"/>
          <w:b/>
          <w:i w:val="0"/>
          <w:sz w:val="22"/>
        </w:rPr>
        <w:t>NB 1 – Vergabe</w:t>
      </w:r>
    </w:p>
    <w:p>
      <w:pPr>
        <w:spacing w:after="120"/>
        <w:ind w:left="454"/>
      </w:pPr>
      <w:r>
        <w:rPr>
          <w:rFonts w:ascii="Calibri" w:hAnsi="Calibri"/>
          <w:b w:val="0"/>
          <w:i w:val="0"/>
          <w:sz w:val="22"/>
        </w:rPr>
        <w:t>Alle Lieferungen/Leistungen sind nach GWB, VgV, VOB/A, UVgO zu vergeben. Vergabeverstöße können zur Rückforderung führen. Vergabedokumentation nach § 8 VgV vollständig führen.</w:t>
      </w:r>
    </w:p>
    <w:p>
      <w:pPr>
        <w:spacing w:after="40"/>
      </w:pPr>
      <w:r>
        <w:rPr>
          <w:rFonts w:ascii="Calibri" w:hAnsi="Calibri"/>
          <w:b/>
          <w:i w:val="0"/>
          <w:sz w:val="22"/>
        </w:rPr>
        <w:t>NB 2 – Verwendungsnachweis</w:t>
      </w:r>
    </w:p>
    <w:p>
      <w:pPr>
        <w:spacing w:after="120"/>
        <w:ind w:left="454"/>
      </w:pPr>
      <w:r>
        <w:rPr>
          <w:rFonts w:ascii="Calibri" w:hAnsi="Calibri"/>
          <w:b w:val="0"/>
          <w:i w:val="0"/>
          <w:sz w:val="22"/>
        </w:rPr>
        <w:t>Zwischenverwendungsnachweis jeweils bis 31. März des Folgejahres. Abschließender Nachweis binnen 6 Monaten nach Vorhabensabschluss (Muster ANBest-G Anlage 4).</w:t>
      </w:r>
    </w:p>
    <w:p>
      <w:pPr>
        <w:spacing w:after="40"/>
      </w:pPr>
      <w:r>
        <w:rPr>
          <w:rFonts w:ascii="Calibri" w:hAnsi="Calibri"/>
          <w:b/>
          <w:i w:val="0"/>
          <w:sz w:val="22"/>
        </w:rPr>
        <w:t>NB 3 – Prüfungsrechte</w:t>
      </w:r>
    </w:p>
    <w:p>
      <w:pPr>
        <w:spacing w:after="120"/>
        <w:ind w:left="454"/>
      </w:pPr>
      <w:r>
        <w:rPr>
          <w:rFonts w:ascii="Calibri" w:hAnsi="Calibri"/>
          <w:b w:val="0"/>
          <w:i w:val="0"/>
          <w:sz w:val="22"/>
        </w:rPr>
        <w:t>BMDV, Bundesrechnungshof (§ 91 BHO), Landesrechnungshof NRW und EU-Prüfbehörden sind berechtigt, Belege und Bücher zu prüfen.</w:t>
      </w:r>
    </w:p>
    <w:p>
      <w:pPr>
        <w:spacing w:after="40"/>
      </w:pPr>
      <w:r>
        <w:rPr>
          <w:rFonts w:ascii="Calibri" w:hAnsi="Calibri"/>
          <w:b/>
          <w:i w:val="0"/>
          <w:sz w:val="22"/>
        </w:rPr>
        <w:t>NB 4 – Kennzeichnung</w:t>
      </w:r>
    </w:p>
    <w:p>
      <w:pPr>
        <w:spacing w:after="120"/>
        <w:ind w:left="454"/>
      </w:pPr>
      <w:r>
        <w:rPr>
          <w:rFonts w:ascii="Calibri" w:hAnsi="Calibri"/>
          <w:b w:val="0"/>
          <w:i w:val="0"/>
          <w:sz w:val="22"/>
        </w:rPr>
        <w:t>Baumaßnahmen mit BMDV-Förderlogo kennzeichnen; Gestaltungsvorgaben folgen separat.</w:t>
      </w:r>
    </w:p>
    <w:p>
      <w:pPr>
        <w:spacing w:after="40"/>
      </w:pPr>
      <w:r>
        <w:rPr>
          <w:rFonts w:ascii="Calibri" w:hAnsi="Calibri"/>
          <w:b/>
          <w:i w:val="0"/>
          <w:sz w:val="22"/>
        </w:rPr>
        <w:t>NB 5 – Änderungen</w:t>
      </w:r>
    </w:p>
    <w:p>
      <w:pPr>
        <w:spacing w:after="120"/>
        <w:ind w:left="454"/>
      </w:pPr>
      <w:r>
        <w:rPr>
          <w:rFonts w:ascii="Calibri" w:hAnsi="Calibri"/>
          <w:b w:val="0"/>
          <w:i w:val="0"/>
          <w:sz w:val="22"/>
        </w:rPr>
        <w:t>Wesentliche Änderungen (Trasse, Kostensteigerung &gt; 10 %, Bauzeitverzug &gt; 12 Monate) unverzüglich anzeigen und Einwilligung einholen. Nicht angezeigte Änderungen können zur vollständigen Rückforderung führen.</w:t>
      </w:r>
    </w:p>
    <w:p>
      <w:pPr>
        <w:spacing w:after="40"/>
      </w:pPr>
      <w:r>
        <w:rPr>
          <w:rFonts w:ascii="Calibri" w:hAnsi="Calibri"/>
          <w:b/>
          <w:i w:val="0"/>
          <w:sz w:val="22"/>
        </w:rPr>
        <w:t>NB 6 – Rückforderungsvorbehalt</w:t>
      </w:r>
    </w:p>
    <w:p>
      <w:pPr>
        <w:spacing w:after="120"/>
        <w:ind w:left="454"/>
      </w:pPr>
      <w:r>
        <w:rPr>
          <w:rFonts w:ascii="Calibri" w:hAnsi="Calibri"/>
          <w:b w:val="0"/>
          <w:i w:val="0"/>
          <w:sz w:val="22"/>
        </w:rPr>
        <w:t>Bei zweckwidriger Verwendung: Rückforderung nebst Zinsen (§ 49a Abs. 3 VwVfG; derzeit 5 Prozentpunkte über Basiszinssatz).</w:t>
      </w:r>
    </w:p>
    <w:p>
      <w:pPr>
        <w:spacing w:before="40" w:after="40"/>
        <w:pBdr>
          <w:bottom w:val="single" w:sz="6" w:space="1" w:color="auto"/>
        </w:pBdr>
      </w:pPr>
    </w:p>
    <w:p/>
    <w:p>
      <w:pPr>
        <w:spacing w:before="120" w:after="80"/>
      </w:pPr>
      <w:r>
        <w:rPr>
          <w:rFonts w:ascii="Calibri" w:hAnsi="Calibri"/>
          <w:b/>
          <w:sz w:val="24"/>
        </w:rPr>
        <w:t>5. Rechtsbehelfsbelehrung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Gegen diesen Bescheid kann innerhalb eines Monats nach Bekanntgabe Widerspruch beim Bundesministerium für Digitales und Verkehr, Invalidenstraße 44, 10115 Berlin, eingelegt werden (§ 68 VwGO). Gerichtsstand: Verwaltungsgericht Berlin (§ 52 Nr. 2 VwGO).</w:t>
      </w:r>
    </w:p>
    <w:p/>
    <w:p>
      <w:pPr>
        <w:spacing w:after="80"/>
      </w:pPr>
      <w:r>
        <w:rPr>
          <w:rFonts w:ascii="Calibri" w:hAnsi="Calibri"/>
          <w:b w:val="0"/>
          <w:i w:val="0"/>
          <w:sz w:val="22"/>
        </w:rPr>
        <w:t>Im Auftrag</w:t>
      </w:r>
    </w:p>
    <w:p>
      <w:pPr>
        <w:spacing w:after="80"/>
      </w:pPr>
      <w:r>
        <w:rPr>
          <w:rFonts w:ascii="Calibri" w:hAnsi="Calibri"/>
          <w:b/>
          <w:i w:val="0"/>
          <w:sz w:val="22"/>
        </w:rPr>
        <w:t>Regierungsdirektor Klaus-Dieter Horstmann | BMDV Referat A14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Berlin, 18. Dezember 2026</w:t>
      </w:r>
    </w:p>
    <w:sectPr w:rsidR="00FC693F" w:rsidRPr="0006063C" w:rsidSect="00034616">
      <w:headerReference w:type="default" r:id="rId9"/>
      <w:pgSz w:w="12240" w:h="15840"/>
      <w:pgMar w:top="1417" w:right="1417" w:bottom="1417" w:left="158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  <w:tabs>
        <w:tab w:val="right" w:pos="9072"/>
      </w:tabs>
    </w:pPr>
    <w:r>
      <w:rPr>
        <w:rFonts w:ascii="Calibri" w:hAnsi="Calibri"/>
        <w:sz w:val="18"/>
      </w:rPr>
      <w:t>BMDV – Bundesförderung GVFG</w:t>
    </w:r>
    <w:r>
      <w:tab/>
    </w:r>
    <w:r>
      <w:rPr>
        <w:rFonts w:ascii="Calibri" w:hAnsi="Calibri"/>
        <w:b/>
        <w:sz w:val="18"/>
      </w:rPr>
      <w:t>AZ: BMDV-A14-2025-0478-FR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