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pPr>
      <w:r>
        <w:rPr>
          <w:rFonts w:ascii="Calibri" w:hAnsi="Calibri"/>
          <w:b/>
          <w:sz w:val="22"/>
        </w:rPr>
        <w:t>Julia Renner, Rechtsanwältin</w:t>
      </w:r>
    </w:p>
    <w:p>
      <w:pPr>
        <w:spacing w:after="0"/>
      </w:pPr>
      <w:r>
        <w:rPr>
          <w:rFonts w:ascii="Calibri" w:hAnsi="Calibri"/>
          <w:b w:val="0"/>
          <w:sz w:val="20"/>
        </w:rPr>
        <w:t>Renner &amp; Partner Rechtsanwälte</w:t>
      </w:r>
    </w:p>
    <w:p>
      <w:pPr>
        <w:spacing w:after="0"/>
      </w:pPr>
      <w:r>
        <w:rPr>
          <w:rFonts w:ascii="Calibri" w:hAnsi="Calibri"/>
          <w:b w:val="0"/>
          <w:sz w:val="20"/>
        </w:rPr>
        <w:t>Karl-Liebknecht-Straße 88, 04275 Leipzig</w:t>
      </w:r>
    </w:p>
    <w:p/>
    <w:p>
      <w:pPr>
        <w:spacing w:after="0"/>
      </w:pPr>
      <w:r>
        <w:rPr>
          <w:rFonts w:ascii="Calibri" w:hAnsi="Calibri"/>
          <w:sz w:val="22"/>
        </w:rPr>
        <w:t>Amtsgericht Leipzig – Vollstreckungsgericht</w:t>
      </w:r>
    </w:p>
    <w:p>
      <w:pPr>
        <w:spacing w:after="0"/>
      </w:pPr>
      <w:r>
        <w:rPr>
          <w:rFonts w:ascii="Calibri" w:hAnsi="Calibri"/>
          <w:sz w:val="22"/>
        </w:rPr>
        <w:t>Rechtspflegerin Hannelore Völker</w:t>
      </w:r>
    </w:p>
    <w:p>
      <w:pPr>
        <w:spacing w:after="0"/>
      </w:pPr>
      <w:r>
        <w:rPr>
          <w:rFonts w:ascii="Calibri" w:hAnsi="Calibri"/>
          <w:sz w:val="22"/>
        </w:rPr>
        <w:t>Bernhard-Göring-Straße 64</w:t>
      </w:r>
    </w:p>
    <w:p>
      <w:pPr>
        <w:spacing w:after="0"/>
      </w:pPr>
      <w:r>
        <w:rPr>
          <w:rFonts w:ascii="Calibri" w:hAnsi="Calibri"/>
          <w:sz w:val="22"/>
        </w:rPr>
        <w:t>04275 Leipzig</w:t>
      </w:r>
    </w:p>
    <w:p/>
    <w:p>
      <w:pPr>
        <w:jc w:val="right"/>
      </w:pPr>
      <w:r>
        <w:rPr>
          <w:rFonts w:ascii="Calibri" w:hAnsi="Calibri"/>
          <w:sz w:val="22"/>
        </w:rPr>
        <w:t>Leipzig, 10. Juni 2026</w:t>
      </w:r>
    </w:p>
    <w:p>
      <w:pPr>
        <w:spacing w:before="160"/>
      </w:pPr>
      <w:r>
        <w:rPr>
          <w:rFonts w:ascii="Calibri" w:hAnsi="Calibri"/>
          <w:b/>
          <w:sz w:val="22"/>
        </w:rPr>
        <w:t>Betreff: Genehmigungsantrag Instandhaltungsmaßnahmen M04–M06 gemäß § 6 Abs. 2 ZwVwV – Az. 76 L 88/26</w:t>
      </w:r>
    </w:p>
    <w:p/>
    <w:p>
      <w:pPr>
        <w:spacing w:after="80"/>
      </w:pPr>
      <w:r>
        <w:rPr>
          <w:rFonts w:ascii="Calibri" w:hAnsi="Calibri"/>
          <w:b w:val="0"/>
          <w:i w:val="0"/>
          <w:sz w:val="22"/>
        </w:rPr>
        <w:t>Sehr geehrte Frau Völker,</w:t>
      </w:r>
    </w:p>
    <w:p>
      <w:pPr>
        <w:spacing w:after="80"/>
      </w:pPr>
      <w:r>
        <w:rPr>
          <w:rFonts w:ascii="Calibri" w:hAnsi="Calibri"/>
          <w:b w:val="0"/>
          <w:i w:val="0"/>
          <w:sz w:val="22"/>
        </w:rPr>
        <w:t>die Zwangsverwalterin stellt hiermit Antrag auf gerichtliche Genehmigung der nachfolgend beschriebenen Instandhaltungsmaßnahmen nach § 6 Abs. 2 ZwVwV, da der voraussichtliche Gesamtaufwand die Wertgrenze von 2.500,00 EUR überschreitet und die Maßnahmen zur Erhaltung des Gebäudes und der Mieteinnahmen erforderlich sind.</w:t>
      </w:r>
    </w:p>
    <w:p>
      <w:pPr>
        <w:spacing w:before="120" w:after="80"/>
      </w:pPr>
      <w:r>
        <w:rPr>
          <w:rFonts w:ascii="Calibri" w:hAnsi="Calibri"/>
          <w:b/>
          <w:i w:val="0"/>
          <w:sz w:val="24"/>
        </w:rPr>
        <w:t>I. Maßnahme M04 – Dachrinne Vorderhaus (dauerhafte Reparatur)</w:t>
      </w:r>
    </w:p>
    <w:p>
      <w:pPr>
        <w:spacing w:after="80"/>
      </w:pPr>
      <w:r>
        <w:rPr>
          <w:rFonts w:ascii="Calibri" w:hAnsi="Calibri"/>
          <w:b w:val="0"/>
          <w:i w:val="0"/>
          <w:sz w:val="22"/>
        </w:rPr>
        <w:t>Sachverhalt: Bei der Besitzübernahme am 07.05.2026 wurde eine lose Dachrinne über dem Bürgersteig der Parkstraße festgestellt. Eine Notabsicherung erfolgte sofort (M01, 480,00 EUR, Beleg R003). Die temporäre Sicherung ist nicht dauerhaft tragfähig.</w:t>
      </w:r>
    </w:p>
    <w:p>
      <w:pPr>
        <w:spacing w:after="80"/>
      </w:pPr>
      <w:r>
        <w:rPr>
          <w:rFonts w:ascii="Calibri" w:hAnsi="Calibri"/>
          <w:b w:val="0"/>
          <w:i w:val="0"/>
          <w:sz w:val="22"/>
        </w:rPr>
        <w:t>Angebotenes Unternehmen: Dachdecker Kessler &amp; Sohn GmbH, Leipzig (Angebot 10.05.2026).</w:t>
      </w:r>
    </w:p>
    <w:tbl>
      <w:tblPr>
        <w:tblStyle w:val="TableGrid"/>
        <w:tblW w:type="auto" w:w="0"/>
        <w:tblLook w:firstColumn="1" w:firstRow="1" w:lastColumn="0" w:lastRow="0" w:noHBand="0" w:noVBand="1" w:val="04A0"/>
      </w:tblPr>
      <w:tblGrid>
        <w:gridCol w:w="3135"/>
        <w:gridCol w:w="3135"/>
        <w:gridCol w:w="3135"/>
      </w:tblGrid>
      <w:tr>
        <w:tc>
          <w:tcPr>
            <w:tcW w:type="dxa" w:w="3402"/>
          </w:tcPr>
          <w:p>
            <w:r>
              <w:rPr>
                <w:rFonts w:ascii="Calibri" w:hAnsi="Calibri"/>
                <w:b/>
                <w:sz w:val="20"/>
              </w:rPr>
              <w:t>Position</w:t>
            </w:r>
          </w:p>
        </w:tc>
        <w:tc>
          <w:tcPr>
            <w:tcW w:type="dxa" w:w="1701"/>
          </w:tcPr>
          <w:p>
            <w:r>
              <w:rPr>
                <w:rFonts w:ascii="Calibri" w:hAnsi="Calibri"/>
                <w:b/>
                <w:sz w:val="20"/>
              </w:rPr>
              <w:t>Einheit</w:t>
            </w:r>
          </w:p>
        </w:tc>
        <w:tc>
          <w:tcPr>
            <w:tcW w:type="dxa" w:w="1701"/>
          </w:tcPr>
          <w:p>
            <w:r>
              <w:rPr>
                <w:rFonts w:ascii="Calibri" w:hAnsi="Calibri"/>
                <w:b/>
                <w:sz w:val="20"/>
              </w:rPr>
              <w:t>Preis (EUR)</w:t>
            </w:r>
          </w:p>
        </w:tc>
      </w:tr>
      <w:tr>
        <w:tc>
          <w:tcPr>
            <w:tcW w:type="dxa" w:w="3402"/>
          </w:tcPr>
          <w:p>
            <w:r>
              <w:rPr>
                <w:rFonts w:ascii="Calibri" w:hAnsi="Calibri"/>
                <w:sz w:val="20"/>
              </w:rPr>
              <w:t>Dachrinne Zink DN 100, 18 m</w:t>
            </w:r>
          </w:p>
        </w:tc>
        <w:tc>
          <w:tcPr>
            <w:tcW w:type="dxa" w:w="1701"/>
          </w:tcPr>
          <w:p>
            <w:r>
              <w:rPr>
                <w:rFonts w:ascii="Calibri" w:hAnsi="Calibri"/>
                <w:sz w:val="20"/>
              </w:rPr>
              <w:t>pauschal</w:t>
            </w:r>
          </w:p>
        </w:tc>
        <w:tc>
          <w:tcPr>
            <w:tcW w:type="dxa" w:w="1701"/>
          </w:tcPr>
          <w:p>
            <w:r>
              <w:rPr>
                <w:rFonts w:ascii="Calibri" w:hAnsi="Calibri"/>
                <w:sz w:val="20"/>
              </w:rPr>
              <w:t>810,00</w:t>
            </w:r>
          </w:p>
        </w:tc>
      </w:tr>
      <w:tr>
        <w:tc>
          <w:tcPr>
            <w:tcW w:type="dxa" w:w="3402"/>
          </w:tcPr>
          <w:p>
            <w:r>
              <w:rPr>
                <w:rFonts w:ascii="Calibri" w:hAnsi="Calibri"/>
                <w:sz w:val="20"/>
              </w:rPr>
              <w:t>2 Fallrohrstutzen DN 80</w:t>
            </w:r>
          </w:p>
        </w:tc>
        <w:tc>
          <w:tcPr>
            <w:tcW w:type="dxa" w:w="1701"/>
          </w:tcPr>
          <w:p>
            <w:r>
              <w:rPr>
                <w:rFonts w:ascii="Calibri" w:hAnsi="Calibri"/>
                <w:sz w:val="20"/>
              </w:rPr>
              <w:t>pauschal</w:t>
            </w:r>
          </w:p>
        </w:tc>
        <w:tc>
          <w:tcPr>
            <w:tcW w:type="dxa" w:w="1701"/>
          </w:tcPr>
          <w:p>
            <w:r>
              <w:rPr>
                <w:rFonts w:ascii="Calibri" w:hAnsi="Calibri"/>
                <w:sz w:val="20"/>
              </w:rPr>
              <w:t>160,00</w:t>
            </w:r>
          </w:p>
        </w:tc>
      </w:tr>
      <w:tr>
        <w:tc>
          <w:tcPr>
            <w:tcW w:type="dxa" w:w="3402"/>
          </w:tcPr>
          <w:p>
            <w:r>
              <w:rPr>
                <w:rFonts w:ascii="Calibri" w:hAnsi="Calibri"/>
                <w:sz w:val="20"/>
              </w:rPr>
              <w:t>Montage (2 Dachdecker, 6 h)</w:t>
            </w:r>
          </w:p>
        </w:tc>
        <w:tc>
          <w:tcPr>
            <w:tcW w:type="dxa" w:w="1701"/>
          </w:tcPr>
          <w:p>
            <w:r>
              <w:rPr>
                <w:rFonts w:ascii="Calibri" w:hAnsi="Calibri"/>
                <w:sz w:val="20"/>
              </w:rPr>
              <w:t>Stunden</w:t>
            </w:r>
          </w:p>
        </w:tc>
        <w:tc>
          <w:tcPr>
            <w:tcW w:type="dxa" w:w="1701"/>
          </w:tcPr>
          <w:p>
            <w:r>
              <w:rPr>
                <w:rFonts w:ascii="Calibri" w:hAnsi="Calibri"/>
                <w:sz w:val="20"/>
              </w:rPr>
              <w:t>900,00</w:t>
            </w:r>
          </w:p>
        </w:tc>
      </w:tr>
      <w:tr>
        <w:tc>
          <w:tcPr>
            <w:tcW w:type="dxa" w:w="3402"/>
          </w:tcPr>
          <w:p>
            <w:r>
              <w:rPr>
                <w:rFonts w:ascii="Calibri" w:hAnsi="Calibri"/>
                <w:sz w:val="20"/>
              </w:rPr>
              <w:t>Gerüst (Tagesmiete)</w:t>
            </w:r>
          </w:p>
        </w:tc>
        <w:tc>
          <w:tcPr>
            <w:tcW w:type="dxa" w:w="1701"/>
          </w:tcPr>
          <w:p>
            <w:r>
              <w:rPr>
                <w:rFonts w:ascii="Calibri" w:hAnsi="Calibri"/>
                <w:sz w:val="20"/>
              </w:rPr>
              <w:t>pauschal</w:t>
            </w:r>
          </w:p>
        </w:tc>
        <w:tc>
          <w:tcPr>
            <w:tcW w:type="dxa" w:w="1701"/>
          </w:tcPr>
          <w:p>
            <w:r>
              <w:rPr>
                <w:rFonts w:ascii="Calibri" w:hAnsi="Calibri"/>
                <w:sz w:val="20"/>
              </w:rPr>
              <w:t>330,00</w:t>
            </w:r>
          </w:p>
        </w:tc>
      </w:tr>
      <w:tr>
        <w:tc>
          <w:tcPr>
            <w:tcW w:type="dxa" w:w="3402"/>
          </w:tcPr>
          <w:p>
            <w:r>
              <w:rPr>
                <w:rFonts w:ascii="Calibri" w:hAnsi="Calibri"/>
                <w:sz w:val="20"/>
              </w:rPr>
              <w:t>Gesamt netto</w:t>
            </w:r>
          </w:p>
        </w:tc>
        <w:tc>
          <w:tcPr>
            <w:tcW w:type="dxa" w:w="1701"/>
          </w:tcPr>
          <w:p>
            <w:r>
              <w:rPr>
                <w:rFonts w:ascii="Calibri" w:hAnsi="Calibri"/>
                <w:sz w:val="20"/>
              </w:rPr>
            </w:r>
          </w:p>
        </w:tc>
        <w:tc>
          <w:tcPr>
            <w:tcW w:type="dxa" w:w="1701"/>
          </w:tcPr>
          <w:p>
            <w:r>
              <w:rPr>
                <w:rFonts w:ascii="Calibri" w:hAnsi="Calibri"/>
                <w:sz w:val="20"/>
              </w:rPr>
              <w:t>2.200,00</w:t>
            </w:r>
          </w:p>
        </w:tc>
      </w:tr>
    </w:tbl>
    <w:p>
      <w:pPr>
        <w:spacing w:after="80"/>
      </w:pPr>
      <w:r>
        <w:rPr>
          <w:rFonts w:ascii="Calibri" w:hAnsi="Calibri"/>
          <w:b w:val="0"/>
          <w:i/>
          <w:sz w:val="22"/>
        </w:rPr>
        <w:t>Erforderlichkeit: Verkehrssicherungspflicht; Sicherung notwendig für Mietbetrieb.</w:t>
      </w:r>
    </w:p>
    <w:p>
      <w:pPr>
        <w:spacing w:before="120" w:after="80"/>
      </w:pPr>
      <w:r>
        <w:rPr>
          <w:rFonts w:ascii="Calibri" w:hAnsi="Calibri"/>
          <w:b/>
          <w:i w:val="0"/>
          <w:sz w:val="24"/>
        </w:rPr>
        <w:t>II. Maßnahme M05 – Balkon WE04 Geländer</w:t>
      </w:r>
    </w:p>
    <w:p>
      <w:pPr>
        <w:spacing w:after="80"/>
      </w:pPr>
      <w:r>
        <w:rPr>
          <w:rFonts w:ascii="Calibri" w:hAnsi="Calibri"/>
          <w:b w:val="0"/>
          <w:i w:val="0"/>
          <w:sz w:val="22"/>
        </w:rPr>
        <w:t>Sachverhalt: Das Balkongeländer im 1. OG (WE04) ist an zwei Befestigungspunkten aus dem Mauerwerk ausgebrochen. Betreten des Balkons ist verboten; Mieterin informiert. Angebot: Metallbau Wagner, Leipzig (Angebot 12.05.2026): 900,00 EUR pauschal.</w:t>
      </w:r>
    </w:p>
    <w:p>
      <w:pPr>
        <w:spacing w:after="80"/>
      </w:pPr>
      <w:r>
        <w:rPr>
          <w:rFonts w:ascii="Calibri" w:hAnsi="Calibri"/>
          <w:b w:val="0"/>
          <w:i/>
          <w:sz w:val="22"/>
        </w:rPr>
        <w:t>Erforderlichkeit: Verkehrssicherung; Haftpflichtrisiko ohne Reparatur.</w:t>
      </w:r>
    </w:p>
    <w:p>
      <w:pPr>
        <w:spacing w:before="120" w:after="80"/>
      </w:pPr>
      <w:r>
        <w:rPr>
          <w:rFonts w:ascii="Calibri" w:hAnsi="Calibri"/>
          <w:b/>
          <w:i w:val="0"/>
          <w:sz w:val="24"/>
        </w:rPr>
        <w:t>III. Maßnahme M06 – Kellertrocknung</w:t>
      </w:r>
    </w:p>
    <w:p>
      <w:pPr>
        <w:spacing w:after="80"/>
      </w:pPr>
      <w:r>
        <w:rPr>
          <w:rFonts w:ascii="Calibri" w:hAnsi="Calibri"/>
          <w:b w:val="0"/>
          <w:i w:val="0"/>
          <w:sz w:val="22"/>
        </w:rPr>
        <w:t>Sachverhalt: Nach Beseitigung des Leitungswasserschadens (M02/M03) ist technische Trocknung des betroffenen Kellerbereichs erforderlich. Empfehlung FixRohr GmbH: 2 Trocknungsgeräte für 4–6 Wochen (180,00 EUR/Woche) zuzüglich Abschlussbegehung.</w:t>
      </w:r>
    </w:p>
    <w:tbl>
      <w:tblPr>
        <w:tblStyle w:val="TableGrid"/>
        <w:tblW w:type="auto" w:w="0"/>
        <w:tblLook w:firstColumn="1" w:firstRow="1" w:lastColumn="0" w:lastRow="0" w:noHBand="0" w:noVBand="1" w:val="04A0"/>
      </w:tblPr>
      <w:tblGrid>
        <w:gridCol w:w="4702"/>
        <w:gridCol w:w="4702"/>
      </w:tblGrid>
      <w:tr>
        <w:tc>
          <w:tcPr>
            <w:tcW w:type="dxa" w:w="4535"/>
          </w:tcPr>
          <w:p>
            <w:r>
              <w:rPr>
                <w:rFonts w:ascii="Calibri" w:hAnsi="Calibri"/>
                <w:b/>
                <w:sz w:val="20"/>
              </w:rPr>
              <w:t>Position</w:t>
            </w:r>
          </w:p>
        </w:tc>
        <w:tc>
          <w:tcPr>
            <w:tcW w:type="dxa" w:w="2268"/>
          </w:tcPr>
          <w:p>
            <w:r>
              <w:rPr>
                <w:rFonts w:ascii="Calibri" w:hAnsi="Calibri"/>
                <w:b/>
                <w:sz w:val="20"/>
              </w:rPr>
              <w:t>Preis (EUR)</w:t>
            </w:r>
          </w:p>
        </w:tc>
      </w:tr>
      <w:tr>
        <w:tc>
          <w:tcPr>
            <w:tcW w:type="dxa" w:w="4535"/>
          </w:tcPr>
          <w:p>
            <w:r>
              <w:rPr>
                <w:rFonts w:ascii="Calibri" w:hAnsi="Calibri"/>
                <w:sz w:val="20"/>
              </w:rPr>
              <w:t>Gerätemiete 2 × Trocknungsgerät, 5 Wochen</w:t>
            </w:r>
          </w:p>
        </w:tc>
        <w:tc>
          <w:tcPr>
            <w:tcW w:type="dxa" w:w="2268"/>
          </w:tcPr>
          <w:p>
            <w:r>
              <w:rPr>
                <w:rFonts w:ascii="Calibri" w:hAnsi="Calibri"/>
                <w:sz w:val="20"/>
              </w:rPr>
              <w:t>1.800,00</w:t>
            </w:r>
          </w:p>
        </w:tc>
      </w:tr>
      <w:tr>
        <w:tc>
          <w:tcPr>
            <w:tcW w:type="dxa" w:w="4535"/>
          </w:tcPr>
          <w:p>
            <w:r>
              <w:rPr>
                <w:rFonts w:ascii="Calibri" w:hAnsi="Calibri"/>
                <w:sz w:val="20"/>
              </w:rPr>
              <w:t>Aufstellung, Kontrolle, Abbau</w:t>
            </w:r>
          </w:p>
        </w:tc>
        <w:tc>
          <w:tcPr>
            <w:tcW w:type="dxa" w:w="2268"/>
          </w:tcPr>
          <w:p>
            <w:r>
              <w:rPr>
                <w:rFonts w:ascii="Calibri" w:hAnsi="Calibri"/>
                <w:sz w:val="20"/>
              </w:rPr>
              <w:t>800,00</w:t>
            </w:r>
          </w:p>
        </w:tc>
      </w:tr>
      <w:tr>
        <w:tc>
          <w:tcPr>
            <w:tcW w:type="dxa" w:w="4535"/>
          </w:tcPr>
          <w:p>
            <w:r>
              <w:rPr>
                <w:rFonts w:ascii="Calibri" w:hAnsi="Calibri"/>
                <w:sz w:val="20"/>
              </w:rPr>
              <w:t>Nachkontrolle Mauerwerk</w:t>
            </w:r>
          </w:p>
        </w:tc>
        <w:tc>
          <w:tcPr>
            <w:tcW w:type="dxa" w:w="2268"/>
          </w:tcPr>
          <w:p>
            <w:r>
              <w:rPr>
                <w:rFonts w:ascii="Calibri" w:hAnsi="Calibri"/>
                <w:sz w:val="20"/>
              </w:rPr>
              <w:t>400,00</w:t>
            </w:r>
          </w:p>
        </w:tc>
      </w:tr>
      <w:tr>
        <w:tc>
          <w:tcPr>
            <w:tcW w:type="dxa" w:w="4535"/>
          </w:tcPr>
          <w:p>
            <w:r>
              <w:rPr>
                <w:rFonts w:ascii="Calibri" w:hAnsi="Calibri"/>
                <w:sz w:val="20"/>
              </w:rPr>
              <w:t>Gutschrift bei günstigerem Verlauf (Schätzabzug)</w:t>
            </w:r>
          </w:p>
        </w:tc>
        <w:tc>
          <w:tcPr>
            <w:tcW w:type="dxa" w:w="2268"/>
          </w:tcPr>
          <w:p>
            <w:r>
              <w:rPr>
                <w:rFonts w:ascii="Calibri" w:hAnsi="Calibri"/>
                <w:sz w:val="20"/>
              </w:rPr>
              <w:t>−400,00</w:t>
            </w:r>
          </w:p>
        </w:tc>
      </w:tr>
      <w:tr>
        <w:tc>
          <w:tcPr>
            <w:tcW w:type="dxa" w:w="4535"/>
          </w:tcPr>
          <w:p>
            <w:r>
              <w:rPr>
                <w:rFonts w:ascii="Calibri" w:hAnsi="Calibri"/>
                <w:sz w:val="20"/>
              </w:rPr>
              <w:t>Geschätzter Gesamtbetrag</w:t>
            </w:r>
          </w:p>
        </w:tc>
        <w:tc>
          <w:tcPr>
            <w:tcW w:type="dxa" w:w="2268"/>
          </w:tcPr>
          <w:p>
            <w:r>
              <w:rPr>
                <w:rFonts w:ascii="Calibri" w:hAnsi="Calibri"/>
                <w:sz w:val="20"/>
              </w:rPr>
              <w:t>2.600,00</w:t>
            </w:r>
          </w:p>
        </w:tc>
      </w:tr>
    </w:tbl>
    <w:p>
      <w:pPr>
        <w:spacing w:before="120" w:after="80"/>
      </w:pPr>
      <w:r>
        <w:rPr>
          <w:rFonts w:ascii="Calibri" w:hAnsi="Calibri"/>
          <w:b/>
          <w:i w:val="0"/>
          <w:sz w:val="24"/>
        </w:rPr>
        <w:t>IV. Gesamtkosten und Finanzierung</w:t>
      </w:r>
    </w:p>
    <w:tbl>
      <w:tblPr>
        <w:tblStyle w:val="TableGrid"/>
        <w:tblW w:type="auto" w:w="0"/>
        <w:tblLook w:firstColumn="1" w:firstRow="1" w:lastColumn="0" w:lastRow="0" w:noHBand="0" w:noVBand="1" w:val="04A0"/>
      </w:tblPr>
      <w:tblGrid>
        <w:gridCol w:w="4702"/>
        <w:gridCol w:w="4702"/>
      </w:tblGrid>
      <w:tr>
        <w:tc>
          <w:tcPr>
            <w:tcW w:type="dxa" w:w="4535"/>
          </w:tcPr>
          <w:p>
            <w:r>
              <w:rPr>
                <w:rFonts w:ascii="Calibri" w:hAnsi="Calibri"/>
                <w:b/>
                <w:sz w:val="20"/>
              </w:rPr>
              <w:t>Maßnahme</w:t>
            </w:r>
          </w:p>
        </w:tc>
        <w:tc>
          <w:tcPr>
            <w:tcW w:type="dxa" w:w="2268"/>
          </w:tcPr>
          <w:p>
            <w:r>
              <w:rPr>
                <w:rFonts w:ascii="Calibri" w:hAnsi="Calibri"/>
                <w:b/>
                <w:sz w:val="20"/>
              </w:rPr>
              <w:t>Betrag (EUR)</w:t>
            </w:r>
          </w:p>
        </w:tc>
      </w:tr>
      <w:tr>
        <w:tc>
          <w:tcPr>
            <w:tcW w:type="dxa" w:w="4535"/>
          </w:tcPr>
          <w:p>
            <w:r>
              <w:rPr>
                <w:rFonts w:ascii="Calibri" w:hAnsi="Calibri"/>
                <w:sz w:val="20"/>
              </w:rPr>
              <w:t>M04 Dachrinne dauerhaft</w:t>
            </w:r>
          </w:p>
        </w:tc>
        <w:tc>
          <w:tcPr>
            <w:tcW w:type="dxa" w:w="2268"/>
          </w:tcPr>
          <w:p>
            <w:r>
              <w:rPr>
                <w:rFonts w:ascii="Calibri" w:hAnsi="Calibri"/>
                <w:sz w:val="20"/>
              </w:rPr>
              <w:t>2.200,00</w:t>
            </w:r>
          </w:p>
        </w:tc>
      </w:tr>
      <w:tr>
        <w:tc>
          <w:tcPr>
            <w:tcW w:type="dxa" w:w="4535"/>
          </w:tcPr>
          <w:p>
            <w:r>
              <w:rPr>
                <w:rFonts w:ascii="Calibri" w:hAnsi="Calibri"/>
                <w:sz w:val="20"/>
              </w:rPr>
              <w:t>M05 Balkon WE04</w:t>
            </w:r>
          </w:p>
        </w:tc>
        <w:tc>
          <w:tcPr>
            <w:tcW w:type="dxa" w:w="2268"/>
          </w:tcPr>
          <w:p>
            <w:r>
              <w:rPr>
                <w:rFonts w:ascii="Calibri" w:hAnsi="Calibri"/>
                <w:sz w:val="20"/>
              </w:rPr>
              <w:t>900,00</w:t>
            </w:r>
          </w:p>
        </w:tc>
      </w:tr>
      <w:tr>
        <w:tc>
          <w:tcPr>
            <w:tcW w:type="dxa" w:w="4535"/>
          </w:tcPr>
          <w:p>
            <w:r>
              <w:rPr>
                <w:rFonts w:ascii="Calibri" w:hAnsi="Calibri"/>
                <w:sz w:val="20"/>
              </w:rPr>
              <w:t>M06 Kellertrocknung</w:t>
            </w:r>
          </w:p>
        </w:tc>
        <w:tc>
          <w:tcPr>
            <w:tcW w:type="dxa" w:w="2268"/>
          </w:tcPr>
          <w:p>
            <w:r>
              <w:rPr>
                <w:rFonts w:ascii="Calibri" w:hAnsi="Calibri"/>
                <w:sz w:val="20"/>
              </w:rPr>
              <w:t>2.600,00</w:t>
            </w:r>
          </w:p>
        </w:tc>
      </w:tr>
      <w:tr>
        <w:tc>
          <w:tcPr>
            <w:tcW w:type="dxa" w:w="4535"/>
          </w:tcPr>
          <w:p>
            <w:r>
              <w:rPr>
                <w:rFonts w:ascii="Calibri" w:hAnsi="Calibri"/>
                <w:sz w:val="20"/>
              </w:rPr>
              <w:t>Gesamtbetrag (netto)</w:t>
            </w:r>
          </w:p>
        </w:tc>
        <w:tc>
          <w:tcPr>
            <w:tcW w:type="dxa" w:w="2268"/>
          </w:tcPr>
          <w:p>
            <w:r>
              <w:rPr>
                <w:rFonts w:ascii="Calibri" w:hAnsi="Calibri"/>
                <w:sz w:val="20"/>
              </w:rPr>
              <w:t>5.700,00</w:t>
            </w:r>
          </w:p>
        </w:tc>
      </w:tr>
    </w:tbl>
    <w:p>
      <w:pPr>
        <w:spacing w:after="80"/>
      </w:pPr>
      <w:r>
        <w:rPr>
          <w:rFonts w:ascii="Calibri" w:hAnsi="Calibri"/>
          <w:b w:val="0"/>
          <w:i w:val="0"/>
          <w:sz w:val="22"/>
        </w:rPr>
        <w:t>Finanzierung: Aus laufenden Mieteinnahmen und dem aufgestockten Verfahrensvorschuss. Der Kontostand zum 10.06.2026 beträgt nach Vorschussaufstockung (7.500 EUR, B002) ca. 9.300,00 EUR; die Maßnahmen sind finanzierbar.</w:t>
      </w:r>
    </w:p>
    <w:p>
      <w:pPr>
        <w:spacing w:before="120" w:after="80"/>
      </w:pPr>
      <w:r>
        <w:rPr>
          <w:rFonts w:ascii="Calibri" w:hAnsi="Calibri"/>
          <w:b/>
          <w:i w:val="0"/>
          <w:sz w:val="24"/>
        </w:rPr>
        <w:t>V. Antrag</w:t>
      </w:r>
    </w:p>
    <w:p>
      <w:pPr>
        <w:spacing w:after="80"/>
      </w:pPr>
      <w:r>
        <w:rPr>
          <w:rFonts w:ascii="Calibri" w:hAnsi="Calibri"/>
          <w:b w:val="0"/>
          <w:i w:val="0"/>
          <w:sz w:val="22"/>
        </w:rPr>
        <w:t>Die Zwangsverwalterin beantragt, die Durchführung der Maßnahmen M04, M05 und M06 in einem Gesamtumfang von bis zu 5.700,00 EUR netto gemäß § 6 Abs. 2 ZwVwV zu genehmigen und die beauftragten Unternehmen Kessler &amp; Sohn, Metallbau Wagner und FixRohr GmbH zur Ausführung der Arbeiten zu ermächtigen.</w:t>
      </w:r>
    </w:p>
    <w:p>
      <w:pPr>
        <w:spacing w:after="80"/>
      </w:pPr>
      <w:r>
        <w:rPr>
          <w:rFonts w:ascii="Calibri" w:hAnsi="Calibri"/>
          <w:b w:val="0"/>
          <w:i w:val="0"/>
          <w:sz w:val="22"/>
        </w:rPr>
        <w:t>Alle Originalangebote liegen diesem Antrag als Anlage bei. Die Zwangsverwalterin wird nach Abschluss der Maßnahmen Originalrechnungen zur Akte reichen und im nächsten Monatsbericht berichten.</w:t>
      </w:r>
    </w:p>
    <w:p/>
    <w:p>
      <w:pPr>
        <w:spacing w:after="80"/>
      </w:pPr>
      <w:r>
        <w:rPr>
          <w:rFonts w:ascii="Calibri" w:hAnsi="Calibri"/>
          <w:b w:val="0"/>
          <w:i w:val="0"/>
          <w:sz w:val="22"/>
        </w:rPr>
        <w:t>Mit freundlichen Grüßen</w:t>
      </w:r>
    </w:p>
    <w:p/>
    <w:p>
      <w:pPr>
        <w:spacing w:after="80"/>
      </w:pPr>
      <w:r>
        <w:rPr>
          <w:rFonts w:ascii="Calibri" w:hAnsi="Calibri"/>
          <w:b w:val="0"/>
          <w:i w:val="0"/>
          <w:sz w:val="22"/>
        </w:rPr>
        <w:t>Julia Renner</w:t>
        <w:br/>
        <w:t>Rechtsanwältin</w:t>
        <w:br/>
        <w:t>Zwangsverwalterin Az. 76 L 88/26</w:t>
      </w:r>
    </w:p>
    <w:p/>
    <w:p>
      <w:pPr>
        <w:spacing w:after="80"/>
      </w:pPr>
      <w:r>
        <w:rPr>
          <w:rFonts w:ascii="Calibri" w:hAnsi="Calibri"/>
          <w:b w:val="0"/>
          <w:i w:val="0"/>
          <w:sz w:val="22"/>
        </w:rPr>
        <w:t>Anlagen:</w:t>
      </w:r>
    </w:p>
    <w:p>
      <w:pPr>
        <w:spacing w:after="80"/>
      </w:pPr>
      <w:r>
        <w:rPr>
          <w:rFonts w:ascii="Calibri" w:hAnsi="Calibri"/>
          <w:b w:val="0"/>
          <w:i w:val="0"/>
          <w:sz w:val="22"/>
        </w:rPr>
        <w:t>- Angebot Kessler &amp; Sohn GmbH vom 10.05.2026 (Dachrinne)</w:t>
      </w:r>
    </w:p>
    <w:p>
      <w:pPr>
        <w:spacing w:after="80"/>
      </w:pPr>
      <w:r>
        <w:rPr>
          <w:rFonts w:ascii="Calibri" w:hAnsi="Calibri"/>
          <w:b w:val="0"/>
          <w:i w:val="0"/>
          <w:sz w:val="22"/>
        </w:rPr>
        <w:t>- Angebot Metallbau Wagner vom 12.05.2026 (Balkon)</w:t>
      </w:r>
    </w:p>
    <w:p>
      <w:pPr>
        <w:spacing w:after="80"/>
      </w:pPr>
      <w:r>
        <w:rPr>
          <w:rFonts w:ascii="Calibri" w:hAnsi="Calibri"/>
          <w:b w:val="0"/>
          <w:i w:val="0"/>
          <w:sz w:val="22"/>
        </w:rPr>
        <w:t>- Angebot/Kostenvoranschlag FixRohr GmbH vom 14.05.2026 (Trocknung)</w:t>
      </w:r>
    </w:p>
    <w:p>
      <w:pPr>
        <w:spacing w:after="80"/>
      </w:pPr>
      <w:r>
        <w:rPr>
          <w:rFonts w:ascii="Calibri" w:hAnsi="Calibri"/>
          <w:b w:val="0"/>
          <w:i w:val="0"/>
          <w:sz w:val="22"/>
        </w:rPr>
        <w:t>- Fotoanlage: Dachrinne (5 Aufnahmen), Balkon (3 Aufnahmen), Keller (8 Aufnahmen)</w:t>
      </w:r>
    </w:p>
    <w:sectPr w:rsidR="00FC693F" w:rsidRPr="0006063C" w:rsidSect="00034616">
      <w:headerReference w:type="default" r:id="rId9"/>
      <w:pgSz w:w="12240" w:h="15840"/>
      <w:pgMar w:top="1417" w:right="1134"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
      <w:rPr>
        <w:rFonts w:ascii="Calibri" w:hAnsi="Calibri"/>
        <w:i/>
        <w:sz w:val="18"/>
      </w:rPr>
      <w:t>Az. 76 L 88/26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