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</w:pPr>
      <w:r>
        <w:rPr>
          <w:rFonts w:ascii="Calibri" w:hAnsi="Calibri"/>
          <w:b/>
          <w:sz w:val="22"/>
        </w:rPr>
        <w:t>Julia Renner, Rechtsanwältin</w:t>
      </w:r>
    </w:p>
    <w:p>
      <w:pPr>
        <w:spacing w:after="0"/>
      </w:pPr>
      <w:r>
        <w:rPr>
          <w:rFonts w:ascii="Calibri" w:hAnsi="Calibri"/>
          <w:b w:val="0"/>
          <w:sz w:val="20"/>
        </w:rPr>
        <w:t>Renner &amp; Partner Rechtsanwälte</w:t>
      </w:r>
    </w:p>
    <w:p>
      <w:pPr>
        <w:spacing w:after="0"/>
      </w:pPr>
      <w:r>
        <w:rPr>
          <w:rFonts w:ascii="Calibri" w:hAnsi="Calibri"/>
          <w:b w:val="0"/>
          <w:sz w:val="20"/>
        </w:rPr>
        <w:t>Karl-Liebknecht-Straße 88, 04275 Leipzig</w:t>
      </w:r>
    </w:p>
    <w:p/>
    <w:p>
      <w:pPr>
        <w:spacing w:after="0"/>
      </w:pPr>
      <w:r>
        <w:rPr>
          <w:rFonts w:ascii="Calibri" w:hAnsi="Calibri"/>
          <w:sz w:val="22"/>
        </w:rPr>
        <w:t>Amtsgericht Leipzig – Vollstreckungsgericht</w:t>
      </w:r>
    </w:p>
    <w:p>
      <w:pPr>
        <w:spacing w:after="0"/>
      </w:pPr>
      <w:r>
        <w:rPr>
          <w:rFonts w:ascii="Calibri" w:hAnsi="Calibri"/>
          <w:sz w:val="22"/>
        </w:rPr>
        <w:t>Rechtspflegerin Hannelore Völker</w:t>
      </w:r>
    </w:p>
    <w:p>
      <w:pPr>
        <w:spacing w:after="0"/>
      </w:pPr>
      <w:r>
        <w:rPr>
          <w:rFonts w:ascii="Calibri" w:hAnsi="Calibri"/>
          <w:sz w:val="22"/>
        </w:rPr>
        <w:t>Bernhard-Göring-Straße 64</w:t>
      </w:r>
    </w:p>
    <w:p>
      <w:pPr>
        <w:spacing w:after="0"/>
      </w:pPr>
      <w:r>
        <w:rPr>
          <w:rFonts w:ascii="Calibri" w:hAnsi="Calibri"/>
          <w:sz w:val="22"/>
        </w:rPr>
        <w:t>04275 Leipzig</w:t>
      </w:r>
    </w:p>
    <w:p/>
    <w:p>
      <w:pPr>
        <w:jc w:val="right"/>
      </w:pPr>
      <w:r>
        <w:rPr>
          <w:rFonts w:ascii="Calibri" w:hAnsi="Calibri"/>
          <w:sz w:val="22"/>
        </w:rPr>
        <w:t>Leipzig, 15. März 2027</w:t>
      </w:r>
    </w:p>
    <w:p>
      <w:pPr>
        <w:spacing w:before="160"/>
      </w:pPr>
      <w:r>
        <w:rPr>
          <w:rFonts w:ascii="Calibri" w:hAnsi="Calibri"/>
          <w:b/>
          <w:sz w:val="22"/>
        </w:rPr>
        <w:t>Betreff: Schlussrechnung gemäß § 19 ZwVwV i.V.m. § 155 ZVG – Az. 76 L 88/26 – Zwangsverwaltung Parkstraße 18, Leipzig – Abrechnungszeitraum 07.05.2026 – 28.02.2027</w:t>
      </w:r>
    </w:p>
    <w:p/>
    <w:p>
      <w:pPr>
        <w:spacing w:after="80"/>
      </w:pPr>
      <w:r>
        <w:rPr>
          <w:rFonts w:ascii="Calibri" w:hAnsi="Calibri"/>
          <w:b w:val="0"/>
          <w:i w:val="0"/>
          <w:sz w:val="22"/>
        </w:rPr>
        <w:t>Sehr geehrte Frau Völker,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nach Aufhebung der Zwangsverwaltung durch Beschluss des Amtsgerichts Leipzig vom 25. Februar 2027 (Zuschlag im Versteigerungsverfahren Az. 76 K 114/26 am 24.02.2027) lege ich hiermit gemäß § 19 ZwVwV i.V.m. § 154 ZVG die Schlussrechnung für den gesamten Verwaltungszeitraum vor.</w:t>
      </w:r>
    </w:p>
    <w:p>
      <w:pPr>
        <w:spacing w:before="120" w:after="80"/>
      </w:pPr>
      <w:r>
        <w:rPr>
          <w:rFonts w:ascii="Calibri" w:hAnsi="Calibri"/>
          <w:b/>
          <w:i w:val="0"/>
          <w:sz w:val="24"/>
        </w:rPr>
        <w:t>I. Abrechnungszeitraum und Verfahrensüberblick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3118"/>
          </w:tcPr>
          <w:p>
            <w:r>
              <w:rPr>
                <w:rFonts w:ascii="Calibri" w:hAnsi="Calibri"/>
                <w:b/>
                <w:sz w:val="20"/>
              </w:rPr>
              <w:t>Merkmal</w:t>
            </w:r>
          </w:p>
        </w:tc>
        <w:tc>
          <w:tcPr>
            <w:tcW w:type="dxa" w:w="4819"/>
          </w:tcPr>
          <w:p>
            <w:r>
              <w:rPr>
                <w:rFonts w:ascii="Calibri" w:hAnsi="Calibri"/>
                <w:b/>
                <w:sz w:val="20"/>
              </w:rPr>
              <w:t>Inhalt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sz w:val="20"/>
              </w:rPr>
              <w:t>Beginn Zwangsverwaltung</w:t>
            </w:r>
          </w:p>
        </w:tc>
        <w:tc>
          <w:tcPr>
            <w:tcW w:type="dxa" w:w="4819"/>
          </w:tcPr>
          <w:p>
            <w:r>
              <w:rPr>
                <w:rFonts w:ascii="Calibri" w:hAnsi="Calibri"/>
                <w:sz w:val="20"/>
              </w:rPr>
              <w:t>07.05.2026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sz w:val="20"/>
              </w:rPr>
              <w:t>Ende Zwangsverwaltung</w:t>
            </w:r>
          </w:p>
        </w:tc>
        <w:tc>
          <w:tcPr>
            <w:tcW w:type="dxa" w:w="4819"/>
          </w:tcPr>
          <w:p>
            <w:r>
              <w:rPr>
                <w:rFonts w:ascii="Calibri" w:hAnsi="Calibri"/>
                <w:sz w:val="20"/>
              </w:rPr>
              <w:t>28.02.2027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sz w:val="20"/>
              </w:rPr>
              <w:t>Laufzeit</w:t>
            </w:r>
          </w:p>
        </w:tc>
        <w:tc>
          <w:tcPr>
            <w:tcW w:type="dxa" w:w="4819"/>
          </w:tcPr>
          <w:p>
            <w:r>
              <w:rPr>
                <w:rFonts w:ascii="Calibri" w:hAnsi="Calibri"/>
                <w:sz w:val="20"/>
              </w:rPr>
              <w:t>9 Monate und 21 Tage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sz w:val="20"/>
              </w:rPr>
              <w:t>Aufhebungsgrund</w:t>
            </w:r>
          </w:p>
        </w:tc>
        <w:tc>
          <w:tcPr>
            <w:tcW w:type="dxa" w:w="4819"/>
          </w:tcPr>
          <w:p>
            <w:r>
              <w:rPr>
                <w:rFonts w:ascii="Calibri" w:hAnsi="Calibri"/>
                <w:sz w:val="20"/>
              </w:rPr>
              <w:t>Zuschlag im Versteigerungsverfahren Az. 76 K 114/26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sz w:val="20"/>
              </w:rPr>
              <w:t>Objekt</w:t>
            </w:r>
          </w:p>
        </w:tc>
        <w:tc>
          <w:tcPr>
            <w:tcW w:type="dxa" w:w="4819"/>
          </w:tcPr>
          <w:p>
            <w:r>
              <w:rPr>
                <w:rFonts w:ascii="Calibri" w:hAnsi="Calibri"/>
                <w:sz w:val="20"/>
              </w:rPr>
              <w:t>Parkstraße 18, 04107 Leipzig (10 WE + 2 GE)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sz w:val="20"/>
              </w:rPr>
              <w:t>Schuldner</w:t>
            </w:r>
          </w:p>
        </w:tc>
        <w:tc>
          <w:tcPr>
            <w:tcW w:type="dxa" w:w="4819"/>
          </w:tcPr>
          <w:p>
            <w:r>
              <w:rPr>
                <w:rFonts w:ascii="Calibri" w:hAnsi="Calibri"/>
                <w:sz w:val="20"/>
              </w:rPr>
              <w:t>Markus Feldmann</w:t>
            </w:r>
          </w:p>
        </w:tc>
      </w:tr>
      <w:tr>
        <w:tc>
          <w:tcPr>
            <w:tcW w:type="dxa" w:w="3118"/>
          </w:tcPr>
          <w:p>
            <w:r>
              <w:rPr>
                <w:rFonts w:ascii="Calibri" w:hAnsi="Calibri"/>
                <w:sz w:val="20"/>
              </w:rPr>
              <w:t>Gläubigerin</w:t>
            </w:r>
          </w:p>
        </w:tc>
        <w:tc>
          <w:tcPr>
            <w:tcW w:type="dxa" w:w="4819"/>
          </w:tcPr>
          <w:p>
            <w:r>
              <w:rPr>
                <w:rFonts w:ascii="Calibri" w:hAnsi="Calibri"/>
                <w:sz w:val="20"/>
              </w:rPr>
              <w:t>Sachsen Kreditbank AG</w:t>
            </w:r>
          </w:p>
        </w:tc>
      </w:tr>
    </w:tbl>
    <w:p>
      <w:pPr>
        <w:spacing w:before="120" w:after="80"/>
      </w:pPr>
      <w:r>
        <w:rPr>
          <w:rFonts w:ascii="Calibri" w:hAnsi="Calibri"/>
          <w:b/>
          <w:i w:val="0"/>
          <w:sz w:val="24"/>
        </w:rPr>
        <w:t>II. Gesamteinnahmen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5669"/>
          </w:tcPr>
          <w:p>
            <w:r>
              <w:rPr>
                <w:rFonts w:ascii="Calibri" w:hAnsi="Calibri"/>
                <w:b/>
                <w:sz w:val="20"/>
              </w:rPr>
              <w:t>Position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/>
                <w:sz w:val="20"/>
              </w:rPr>
              <w:t>Betrag (EUR)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Mieteinnahmen gesamt (11 Einheiten, 10 Monate)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110.211,50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Verfahrensvorschuss Gläubigerin (2 Tranchen)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12.500,00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Grundsteuererstattung 2025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214,00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BK-Nachzahlung WE05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180,00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Kautionszinsen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28,40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Gesamteinnahmen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123.133,90</w:t>
            </w:r>
          </w:p>
        </w:tc>
      </w:tr>
    </w:tbl>
    <w:p>
      <w:pPr>
        <w:spacing w:before="120" w:after="80"/>
      </w:pPr>
      <w:r>
        <w:rPr>
          <w:rFonts w:ascii="Calibri" w:hAnsi="Calibri"/>
          <w:b/>
          <w:i w:val="0"/>
          <w:sz w:val="24"/>
        </w:rPr>
        <w:t>III. Gesamtausgaben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5669"/>
          </w:tcPr>
          <w:p>
            <w:r>
              <w:rPr>
                <w:rFonts w:ascii="Calibri" w:hAnsi="Calibri"/>
                <w:b/>
                <w:sz w:val="20"/>
              </w:rPr>
              <w:t>Kategorie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/>
                <w:sz w:val="20"/>
              </w:rPr>
              <w:t>Betrag (EUR)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Betriebskosten (Gas, Strom, Wasser, Grundsteuer, Versicherung, Reinigung u.a.)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63.829,00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Instandhaltungsmaßnahmen M01–M12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12.605,00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Vergütung Zwangsverwalterin (brutto inkl. 19 % USt)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7.226,51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Verfahrens- und Nebenkosten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3.730,00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Gesamtausgaben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87.390,51</w:t>
            </w:r>
          </w:p>
        </w:tc>
      </w:tr>
    </w:tbl>
    <w:p>
      <w:pPr>
        <w:spacing w:before="120" w:after="80"/>
      </w:pPr>
      <w:r>
        <w:rPr>
          <w:rFonts w:ascii="Calibri" w:hAnsi="Calibri"/>
          <w:b/>
          <w:i w:val="0"/>
          <w:sz w:val="24"/>
        </w:rPr>
        <w:t>IV. Vergütungsberechnung (§ 17 ZwVwV)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701"/>
          </w:tcPr>
          <w:p>
            <w:r>
              <w:rPr>
                <w:rFonts w:ascii="Calibri" w:hAnsi="Calibri"/>
                <w:b/>
                <w:sz w:val="20"/>
              </w:rPr>
              <w:t>Zeitraum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b/>
                <w:sz w:val="20"/>
              </w:rPr>
              <w:t>Ist-Einnahmen (EUR)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/>
                <w:sz w:val="20"/>
              </w:rPr>
              <w:t>Netto 6 % (EUR)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/>
                <w:sz w:val="20"/>
              </w:rPr>
              <w:t>USt 19 % (EUR)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/>
                <w:sz w:val="20"/>
              </w:rPr>
              <w:t>Brutto (EUR)</w:t>
            </w:r>
          </w:p>
        </w:tc>
      </w:tr>
      <w:tr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Mai 2026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7.679,00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460,74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87,54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548,28</w:t>
            </w:r>
          </w:p>
        </w:tc>
      </w:tr>
      <w:tr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Jun–Sep 2026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38.390,00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2.303,40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437,65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2.741,05</w:t>
            </w:r>
          </w:p>
        </w:tc>
      </w:tr>
      <w:tr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Okt–Dez 2026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33.640,00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2.018,40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383,50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2.401,90</w:t>
            </w:r>
          </w:p>
        </w:tc>
      </w:tr>
      <w:tr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Jan–Feb 2027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21.502,50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1.290,15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245,13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1.535,28</w:t>
            </w:r>
          </w:p>
        </w:tc>
      </w:tr>
      <w:tr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Gesamt</w:t>
            </w:r>
          </w:p>
        </w:tc>
        <w:tc>
          <w:tcPr>
            <w:tcW w:type="dxa" w:w="1984"/>
          </w:tcPr>
          <w:p>
            <w:r>
              <w:rPr>
                <w:rFonts w:ascii="Calibri" w:hAnsi="Calibri"/>
                <w:sz w:val="20"/>
              </w:rPr>
              <w:t>101.211,50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6.072,69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1.153,82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7.226,51</w:t>
            </w:r>
          </w:p>
        </w:tc>
      </w:tr>
    </w:tbl>
    <w:p>
      <w:pPr>
        <w:spacing w:before="120" w:after="80"/>
      </w:pPr>
      <w:r>
        <w:rPr>
          <w:rFonts w:ascii="Calibri" w:hAnsi="Calibri"/>
          <w:b/>
          <w:i w:val="0"/>
          <w:sz w:val="24"/>
        </w:rPr>
        <w:t>V. Schlussauskehr und Konto-Nullstellung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5669"/>
          </w:tcPr>
          <w:p>
            <w:r>
              <w:rPr>
                <w:rFonts w:ascii="Calibri" w:hAnsi="Calibri"/>
                <w:b/>
                <w:sz w:val="20"/>
              </w:rPr>
              <w:t>Position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/>
                <w:sz w:val="20"/>
              </w:rPr>
              <w:t>EUR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Gesamteinnahmen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123.133,90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./. Gesamtausgaben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−87.390,51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./. Kautionen weitergeleitet (an Erwerber)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−18.160,00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./. BK-Abrechnungsbetrag 2026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−3.840,00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Verteilungsfähige Restmasse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13.743,39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Abzüglich bereits ausgekehrter Beträge (Okt + Dez 2026)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−5.979,89</w:t>
            </w:r>
          </w:p>
        </w:tc>
      </w:tr>
      <w:tr>
        <w:tc>
          <w:tcPr>
            <w:tcW w:type="dxa" w:w="5669"/>
          </w:tcPr>
          <w:p>
            <w:r>
              <w:rPr>
                <w:rFonts w:ascii="Calibri" w:hAnsi="Calibri"/>
                <w:sz w:val="20"/>
              </w:rPr>
              <w:t>Schlussauskehr an Sachsen Kreditbank AG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7.763,50</w:t>
            </w:r>
          </w:p>
        </w:tc>
      </w:tr>
    </w:tbl>
    <w:p>
      <w:pPr>
        <w:spacing w:after="80"/>
      </w:pPr>
      <w:r>
        <w:rPr>
          <w:rFonts w:ascii="Calibri" w:hAnsi="Calibri"/>
          <w:b w:val="0"/>
          <w:i w:val="0"/>
          <w:sz w:val="22"/>
        </w:rPr>
        <w:t>Gesamtauskehr im Verfahren: 19.723,28 EUR (davon 2.438,67 EUR Okt. 2026; 3.541,22 EUR Dez. 2026; 13.743,39 EUR Schlussauskehr Mär. 2027).</w:t>
      </w:r>
    </w:p>
    <w:p>
      <w:pPr>
        <w:spacing w:before="120" w:after="80"/>
      </w:pPr>
      <w:r>
        <w:rPr>
          <w:rFonts w:ascii="Calibri" w:hAnsi="Calibri"/>
          <w:b/>
          <w:i w:val="0"/>
          <w:sz w:val="24"/>
        </w:rPr>
        <w:t>VI. Kautionsspiegel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1020"/>
          </w:tcPr>
          <w:p>
            <w:r>
              <w:rPr>
                <w:rFonts w:ascii="Calibri" w:hAnsi="Calibri"/>
                <w:b/>
                <w:sz w:val="20"/>
              </w:rPr>
              <w:t>Einheit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b/>
                <w:sz w:val="20"/>
              </w:rPr>
              <w:t>Mieter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b/>
                <w:sz w:val="20"/>
              </w:rPr>
              <w:t>Kaution (EUR)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b/>
                <w:sz w:val="20"/>
              </w:rPr>
              <w:t>Übergabe an Erwerber</w:t>
            </w:r>
          </w:p>
        </w:tc>
      </w:tr>
      <w:tr>
        <w:tc>
          <w:tcPr>
            <w:tcW w:type="dxa" w:w="1020"/>
          </w:tcPr>
          <w:p>
            <w:r>
              <w:rPr>
                <w:rFonts w:ascii="Calibri" w:hAnsi="Calibri"/>
                <w:sz w:val="20"/>
              </w:rPr>
              <w:t>WE01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I. Berger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2.160,00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sz w:val="20"/>
              </w:rPr>
              <w:t>01.03.2027</w:t>
            </w:r>
          </w:p>
        </w:tc>
      </w:tr>
      <w:tr>
        <w:tc>
          <w:tcPr>
            <w:tcW w:type="dxa" w:w="1020"/>
          </w:tcPr>
          <w:p>
            <w:r>
              <w:rPr>
                <w:rFonts w:ascii="Calibri" w:hAnsi="Calibri"/>
                <w:sz w:val="20"/>
              </w:rPr>
              <w:t>WE02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B. Matuschek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2.070,00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sz w:val="20"/>
              </w:rPr>
              <w:t>01.03.2027</w:t>
            </w:r>
          </w:p>
        </w:tc>
      </w:tr>
      <w:tr>
        <w:tc>
          <w:tcPr>
            <w:tcW w:type="dxa" w:w="1020"/>
          </w:tcPr>
          <w:p>
            <w:r>
              <w:rPr>
                <w:rFonts w:ascii="Calibri" w:hAnsi="Calibri"/>
                <w:sz w:val="20"/>
              </w:rPr>
              <w:t>WE04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C. Ohrend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2.040,00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sz w:val="20"/>
              </w:rPr>
              <w:t>01.03.2027</w:t>
            </w:r>
          </w:p>
        </w:tc>
      </w:tr>
      <w:tr>
        <w:tc>
          <w:tcPr>
            <w:tcW w:type="dxa" w:w="1020"/>
          </w:tcPr>
          <w:p>
            <w:r>
              <w:rPr>
                <w:rFonts w:ascii="Calibri" w:hAnsi="Calibri"/>
                <w:sz w:val="20"/>
              </w:rPr>
              <w:t>WE05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Ehepaar Stöckel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2.550,00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sz w:val="20"/>
              </w:rPr>
              <w:t>01.03.2027</w:t>
            </w:r>
          </w:p>
        </w:tc>
      </w:tr>
      <w:tr>
        <w:tc>
          <w:tcPr>
            <w:tcW w:type="dxa" w:w="1020"/>
          </w:tcPr>
          <w:p>
            <w:r>
              <w:rPr>
                <w:rFonts w:ascii="Calibri" w:hAnsi="Calibri"/>
                <w:sz w:val="20"/>
              </w:rPr>
              <w:t>WE06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D. Farber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1.920,00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sz w:val="20"/>
              </w:rPr>
              <w:t>01.03.2027</w:t>
            </w:r>
          </w:p>
        </w:tc>
      </w:tr>
      <w:tr>
        <w:tc>
          <w:tcPr>
            <w:tcW w:type="dxa" w:w="1020"/>
          </w:tcPr>
          <w:p>
            <w:r>
              <w:rPr>
                <w:rFonts w:ascii="Calibri" w:hAnsi="Calibri"/>
                <w:sz w:val="20"/>
              </w:rPr>
              <w:t>WE07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A. Baumgärtner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2.190,00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sz w:val="20"/>
              </w:rPr>
              <w:t>01.03.2027</w:t>
            </w:r>
          </w:p>
        </w:tc>
      </w:tr>
      <w:tr>
        <w:tc>
          <w:tcPr>
            <w:tcW w:type="dxa" w:w="1020"/>
          </w:tcPr>
          <w:p>
            <w:r>
              <w:rPr>
                <w:rFonts w:ascii="Calibri" w:hAnsi="Calibri"/>
                <w:sz w:val="20"/>
              </w:rPr>
              <w:t>WE08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F. Möller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1.980,00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sz w:val="20"/>
              </w:rPr>
              <w:t>01.03.2027</w:t>
            </w:r>
          </w:p>
        </w:tc>
      </w:tr>
      <w:tr>
        <w:tc>
          <w:tcPr>
            <w:tcW w:type="dxa" w:w="1020"/>
          </w:tcPr>
          <w:p>
            <w:r>
              <w:rPr>
                <w:rFonts w:ascii="Calibri" w:hAnsi="Calibri"/>
                <w:sz w:val="20"/>
              </w:rPr>
              <w:t>WE09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S. Kreller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1.560,00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sz w:val="20"/>
              </w:rPr>
              <w:t>01.03.2027</w:t>
            </w:r>
          </w:p>
        </w:tc>
      </w:tr>
      <w:tr>
        <w:tc>
          <w:tcPr>
            <w:tcW w:type="dxa" w:w="1020"/>
          </w:tcPr>
          <w:p>
            <w:r>
              <w:rPr>
                <w:rFonts w:ascii="Calibri" w:hAnsi="Calibri"/>
                <w:sz w:val="20"/>
              </w:rPr>
              <w:t>WE10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P. Voss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1.800,00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sz w:val="20"/>
              </w:rPr>
              <w:t>01.03.2027</w:t>
            </w:r>
          </w:p>
        </w:tc>
      </w:tr>
      <w:tr>
        <w:tc>
          <w:tcPr>
            <w:tcW w:type="dxa" w:w="1020"/>
          </w:tcPr>
          <w:p>
            <w:r>
              <w:rPr>
                <w:rFonts w:ascii="Calibri" w:hAnsi="Calibri"/>
                <w:sz w:val="20"/>
              </w:rPr>
              <w:t>GE01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Bäckerei Kranz GmbH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0,00 (noch offen)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sz w:val="20"/>
              </w:rPr>
              <w:t>gesondert</w:t>
            </w:r>
          </w:p>
        </w:tc>
      </w:tr>
      <w:tr>
        <w:tc>
          <w:tcPr>
            <w:tcW w:type="dxa" w:w="1020"/>
          </w:tcPr>
          <w:p>
            <w:r>
              <w:rPr>
                <w:rFonts w:ascii="Calibri" w:hAnsi="Calibri"/>
                <w:sz w:val="20"/>
              </w:rPr>
              <w:t>GE02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  <w:t>Kosmetikstudio Luma</w:t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2.940,00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sz w:val="20"/>
              </w:rPr>
              <w:t>01.03.2027</w:t>
            </w:r>
          </w:p>
        </w:tc>
      </w:tr>
      <w:tr>
        <w:tc>
          <w:tcPr>
            <w:tcW w:type="dxa" w:w="1020"/>
          </w:tcPr>
          <w:p>
            <w:r>
              <w:rPr>
                <w:rFonts w:ascii="Calibri" w:hAnsi="Calibri"/>
                <w:sz w:val="20"/>
              </w:rPr>
              <w:t>Summe</w:t>
            </w:r>
          </w:p>
        </w:tc>
        <w:tc>
          <w:tcPr>
            <w:tcW w:type="dxa" w:w="2268"/>
          </w:tcPr>
          <w:p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1701"/>
          </w:tcPr>
          <w:p>
            <w:r>
              <w:rPr>
                <w:rFonts w:ascii="Calibri" w:hAnsi="Calibri"/>
                <w:sz w:val="20"/>
              </w:rPr>
              <w:t>21.210,00</w:t>
            </w:r>
          </w:p>
        </w:tc>
        <w:tc>
          <w:tcPr>
            <w:tcW w:type="dxa" w:w="2381"/>
          </w:tcPr>
          <w:p>
            <w:r>
              <w:rPr>
                <w:rFonts w:ascii="Calibri" w:hAnsi="Calibri"/>
                <w:sz w:val="20"/>
              </w:rPr>
            </w:r>
          </w:p>
        </w:tc>
      </w:tr>
    </w:tbl>
    <w:p>
      <w:pPr>
        <w:spacing w:after="80"/>
      </w:pPr>
      <w:r>
        <w:rPr>
          <w:rFonts w:ascii="Calibri" w:hAnsi="Calibri"/>
          <w:b w:val="0"/>
          <w:i w:val="0"/>
          <w:sz w:val="22"/>
        </w:rPr>
        <w:t>Hinweis: Kaution GE01 (Bäckerei Kranz, 5.550,00 EUR) wurde vom Schuldner nie hinterlegt; sie ist als ausstehende Forderung gegen den Schuldner zu verfolgen. Dieser Betrag ist in der Summe nicht enthalten.</w:t>
      </w:r>
    </w:p>
    <w:p>
      <w:pPr>
        <w:spacing w:before="120" w:after="80"/>
      </w:pPr>
      <w:r>
        <w:rPr>
          <w:rFonts w:ascii="Calibri" w:hAnsi="Calibri"/>
          <w:b/>
          <w:i w:val="0"/>
          <w:sz w:val="24"/>
        </w:rPr>
        <w:t>VII. Entlastungsantrag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Die Zwangsverwalterin hat das Objekt ordnungsgemäß verwaltet, alle Pflichten nach §§ 3, 6, 13, 17–19 ZwVwV erfüllt und die Schlussrechnung nach § 19 ZwVwV vorgelegt. Das Treuhandkonto ist auf null gestellt und wurde am 14. März 2027 aufgelöst.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Die Zwangsverwalterin beantragt hiermit die Entlastung und Entlassung aus dem Amt mit Wirkung zum 28. Februar 2027.</w:t>
      </w:r>
    </w:p>
    <w:p/>
    <w:p>
      <w:pPr>
        <w:spacing w:after="80"/>
      </w:pPr>
      <w:r>
        <w:rPr>
          <w:rFonts w:ascii="Calibri" w:hAnsi="Calibri"/>
          <w:b w:val="0"/>
          <w:i w:val="0"/>
          <w:sz w:val="22"/>
        </w:rPr>
        <w:t>Mit freundlichen Grüßen</w:t>
      </w:r>
    </w:p>
    <w:p/>
    <w:p>
      <w:pPr>
        <w:spacing w:after="80"/>
      </w:pPr>
      <w:r>
        <w:rPr>
          <w:rFonts w:ascii="Calibri" w:hAnsi="Calibri"/>
          <w:b w:val="0"/>
          <w:i w:val="0"/>
          <w:sz w:val="22"/>
        </w:rPr>
        <w:t>Julia Renner</w:t>
        <w:br/>
        <w:t>Rechtsanwältin</w:t>
        <w:br/>
        <w:t>Zwangsverwalterin Az. 76 L 88/26</w:t>
      </w:r>
    </w:p>
    <w:p/>
    <w:p>
      <w:pPr>
        <w:spacing w:after="80"/>
      </w:pPr>
      <w:r>
        <w:rPr>
          <w:rFonts w:ascii="Calibri" w:hAnsi="Calibri"/>
          <w:b w:val="0"/>
          <w:i w:val="0"/>
          <w:sz w:val="22"/>
        </w:rPr>
        <w:t>Anlagen: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- Kassenbuch vollständig (07.05.2026 – 28.02.2027)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- Kontoauszüge Volksbank Leipzig eG (alle Monate)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- Vergütungsberechnung nach § 17 ZwVwV (separate Aufstellung)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- Kautionsspiegel mit Quittungen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- BK-Abrechnung 2026 (gesondertes Dokument)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- Aufhebungsbeschluss AG Leipzig vom 25.02.2027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- Übergabeprotokoll Erwerber vom 01.03.2027</w:t>
      </w:r>
    </w:p>
    <w:sectPr w:rsidR="00FC693F" w:rsidRPr="0006063C" w:rsidSect="00034616">
      <w:headerReference w:type="default" r:id="rId9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/>
    <w:r>
      <w:rPr>
        <w:rFonts w:ascii="Calibri" w:hAnsi="Calibri"/>
        <w:i/>
        <w:sz w:val="18"/>
      </w:rPr>
      <w:t>Az. 76 L 88/26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