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Calibri" w:hAnsi="Calibri"/>
          <w:b/>
          <w:i w:val="0"/>
          <w:sz w:val="32"/>
        </w:rPr>
        <w:t>VERKEHRSWERTGUTACHTEN</w:t>
      </w:r>
    </w:p>
    <w:p>
      <w:pPr>
        <w:jc w:val="center"/>
      </w:pPr>
      <w:r>
        <w:rPr>
          <w:rFonts w:ascii="Calibri" w:hAnsi="Calibri"/>
          <w:b w:val="0"/>
          <w:i w:val="0"/>
          <w:sz w:val="24"/>
        </w:rPr>
        <w:t>im Zwangsversteigerungsverfahren</w:t>
      </w:r>
    </w:p>
    <w:p/>
    <w:tbl>
      <w:tblPr>
        <w:tblStyle w:val="TableGrid"/>
        <w:tblW w:type="auto" w:w="0"/>
        <w:tblLook w:firstColumn="1" w:firstRow="1" w:lastColumn="0" w:lastRow="0" w:noHBand="0" w:noVBand="1" w:val="04A0"/>
      </w:tblPr>
      <w:tblGrid>
        <w:gridCol w:w="4703"/>
        <w:gridCol w:w="4703"/>
      </w:tblGrid>
      <w:tr>
        <w:tc>
          <w:tcPr>
            <w:tcW w:type="dxa" w:w="2835"/>
            <w:shd w:val="clear" w:color="auto" w:fill="D9E1F2"/>
          </w:tcPr>
          <w:p>
            <w:pPr>
              <w:jc w:val="center"/>
            </w:pPr>
            <w:r>
              <w:rPr>
                <w:rFonts w:ascii="Calibri" w:hAnsi="Calibri"/>
                <w:b/>
                <w:i w:val="0"/>
                <w:sz w:val="20"/>
              </w:rPr>
              <w:t>Feld</w:t>
            </w:r>
          </w:p>
        </w:tc>
        <w:tc>
          <w:tcPr>
            <w:tcW w:type="dxa" w:w="6236"/>
            <w:shd w:val="clear" w:color="auto" w:fill="D9E1F2"/>
          </w:tcPr>
          <w:p>
            <w:pPr>
              <w:jc w:val="center"/>
            </w:pPr>
            <w:r>
              <w:rPr>
                <w:rFonts w:ascii="Calibri" w:hAnsi="Calibri"/>
                <w:b/>
                <w:i w:val="0"/>
                <w:sz w:val="20"/>
              </w:rPr>
              <w:t>Inhalt</w:t>
            </w:r>
          </w:p>
        </w:tc>
      </w:tr>
      <w:tr>
        <w:tc>
          <w:tcPr>
            <w:tcW w:type="dxa" w:w="2835"/>
          </w:tcPr>
          <w:p>
            <w:r>
              <w:rPr>
                <w:rFonts w:ascii="Calibri" w:hAnsi="Calibri"/>
                <w:b w:val="0"/>
                <w:i w:val="0"/>
                <w:sz w:val="20"/>
              </w:rPr>
              <w:t>Gutachtennummer</w:t>
            </w:r>
          </w:p>
        </w:tc>
        <w:tc>
          <w:tcPr>
            <w:tcW w:type="dxa" w:w="6236"/>
          </w:tcPr>
          <w:p>
            <w:r>
              <w:rPr>
                <w:rFonts w:ascii="Calibri" w:hAnsi="Calibri"/>
                <w:b w:val="0"/>
                <w:i w:val="0"/>
                <w:sz w:val="20"/>
              </w:rPr>
              <w:t>2026-HH-117</w:t>
            </w:r>
          </w:p>
        </w:tc>
      </w:tr>
      <w:tr>
        <w:tc>
          <w:tcPr>
            <w:tcW w:type="dxa" w:w="2835"/>
          </w:tcPr>
          <w:p>
            <w:r>
              <w:rPr>
                <w:rFonts w:ascii="Calibri" w:hAnsi="Calibri"/>
                <w:b w:val="0"/>
                <w:i w:val="0"/>
                <w:sz w:val="20"/>
              </w:rPr>
              <w:t>Aktenzeichen</w:t>
            </w:r>
          </w:p>
        </w:tc>
        <w:tc>
          <w:tcPr>
            <w:tcW w:type="dxa" w:w="6236"/>
          </w:tcPr>
          <w:p>
            <w:r>
              <w:rPr>
                <w:rFonts w:ascii="Calibri" w:hAnsi="Calibri"/>
                <w:b w:val="0"/>
                <w:i w:val="0"/>
                <w:sz w:val="20"/>
              </w:rPr>
              <w:t>71 K 18/26</w:t>
            </w:r>
          </w:p>
        </w:tc>
      </w:tr>
      <w:tr>
        <w:tc>
          <w:tcPr>
            <w:tcW w:type="dxa" w:w="2835"/>
          </w:tcPr>
          <w:p>
            <w:r>
              <w:rPr>
                <w:rFonts w:ascii="Calibri" w:hAnsi="Calibri"/>
                <w:b w:val="0"/>
                <w:i w:val="0"/>
                <w:sz w:val="20"/>
              </w:rPr>
              <w:t>Amtsgericht</w:t>
            </w:r>
          </w:p>
        </w:tc>
        <w:tc>
          <w:tcPr>
            <w:tcW w:type="dxa" w:w="6236"/>
          </w:tcPr>
          <w:p>
            <w:r>
              <w:rPr>
                <w:rFonts w:ascii="Calibri" w:hAnsi="Calibri"/>
                <w:b w:val="0"/>
                <w:i w:val="0"/>
                <w:sz w:val="20"/>
              </w:rPr>
              <w:t>Amtsgericht Hamburg, Abteilung 71</w:t>
            </w:r>
          </w:p>
        </w:tc>
      </w:tr>
      <w:tr>
        <w:tc>
          <w:tcPr>
            <w:tcW w:type="dxa" w:w="2835"/>
          </w:tcPr>
          <w:p>
            <w:r>
              <w:rPr>
                <w:rFonts w:ascii="Calibri" w:hAnsi="Calibri"/>
                <w:b w:val="0"/>
                <w:i w:val="0"/>
                <w:sz w:val="20"/>
              </w:rPr>
              <w:t>Gutachter</w:t>
            </w:r>
          </w:p>
        </w:tc>
        <w:tc>
          <w:tcPr>
            <w:tcW w:type="dxa" w:w="6236"/>
          </w:tcPr>
          <w:p>
            <w:r>
              <w:rPr>
                <w:rFonts w:ascii="Calibri" w:hAnsi="Calibri"/>
                <w:b w:val="0"/>
                <w:i w:val="0"/>
                <w:sz w:val="20"/>
              </w:rPr>
              <w:t>Dipl.-Ing. Thorsten Malkwitz (fiktiv), öbuv Sachverständiger</w:t>
            </w:r>
          </w:p>
        </w:tc>
      </w:tr>
      <w:tr>
        <w:tc>
          <w:tcPr>
            <w:tcW w:type="dxa" w:w="2835"/>
          </w:tcPr>
          <w:p>
            <w:r>
              <w:rPr>
                <w:rFonts w:ascii="Calibri" w:hAnsi="Calibri"/>
                <w:b w:val="0"/>
                <w:i w:val="0"/>
                <w:sz w:val="20"/>
              </w:rPr>
              <w:t>Wertermittlungsstichtag</w:t>
            </w:r>
          </w:p>
        </w:tc>
        <w:tc>
          <w:tcPr>
            <w:tcW w:type="dxa" w:w="6236"/>
          </w:tcPr>
          <w:p>
            <w:r>
              <w:rPr>
                <w:rFonts w:ascii="Calibri" w:hAnsi="Calibri"/>
                <w:b w:val="0"/>
                <w:i w:val="0"/>
                <w:sz w:val="20"/>
              </w:rPr>
              <w:t>28.04.2026</w:t>
            </w:r>
          </w:p>
        </w:tc>
      </w:tr>
      <w:tr>
        <w:tc>
          <w:tcPr>
            <w:tcW w:type="dxa" w:w="2835"/>
          </w:tcPr>
          <w:p>
            <w:r>
              <w:rPr>
                <w:rFonts w:ascii="Calibri" w:hAnsi="Calibri"/>
                <w:b w:val="0"/>
                <w:i w:val="0"/>
                <w:sz w:val="20"/>
              </w:rPr>
              <w:t>Auftraggeber</w:t>
            </w:r>
          </w:p>
        </w:tc>
        <w:tc>
          <w:tcPr>
            <w:tcW w:type="dxa" w:w="6236"/>
          </w:tcPr>
          <w:p>
            <w:r>
              <w:rPr>
                <w:rFonts w:ascii="Calibri" w:hAnsi="Calibri"/>
                <w:b w:val="0"/>
                <w:i w:val="0"/>
                <w:sz w:val="20"/>
              </w:rPr>
              <w:t>Amtsgericht Hamburg, Abteilung 71</w:t>
            </w:r>
          </w:p>
        </w:tc>
      </w:tr>
      <w:tr>
        <w:tc>
          <w:tcPr>
            <w:tcW w:type="dxa" w:w="2835"/>
          </w:tcPr>
          <w:p>
            <w:r>
              <w:rPr>
                <w:rFonts w:ascii="Calibri" w:hAnsi="Calibri"/>
                <w:b w:val="0"/>
                <w:i w:val="0"/>
                <w:sz w:val="20"/>
              </w:rPr>
              <w:t>Objekt</w:t>
            </w:r>
          </w:p>
        </w:tc>
        <w:tc>
          <w:tcPr>
            <w:tcW w:type="dxa" w:w="6236"/>
          </w:tcPr>
          <w:p>
            <w:r>
              <w:rPr>
                <w:rFonts w:ascii="Calibri" w:hAnsi="Calibri"/>
                <w:b w:val="0"/>
                <w:i w:val="0"/>
                <w:sz w:val="20"/>
              </w:rPr>
              <w:t>WE Nr. 9, Eppendorfer Mühlenbogen 16 / Heilwigbogen 4, 20249 Hamburg</w:t>
            </w:r>
          </w:p>
        </w:tc>
      </w:tr>
      <w:tr>
        <w:tc>
          <w:tcPr>
            <w:tcW w:type="dxa" w:w="2835"/>
          </w:tcPr>
          <w:p>
            <w:r>
              <w:rPr>
                <w:rFonts w:ascii="Calibri" w:hAnsi="Calibri"/>
                <w:b w:val="0"/>
                <w:i w:val="0"/>
                <w:sz w:val="20"/>
              </w:rPr>
              <w:t>Ergebnis</w:t>
            </w:r>
          </w:p>
        </w:tc>
        <w:tc>
          <w:tcPr>
            <w:tcW w:type="dxa" w:w="6236"/>
          </w:tcPr>
          <w:p>
            <w:r>
              <w:rPr>
                <w:rFonts w:ascii="Calibri" w:hAnsi="Calibri"/>
                <w:b w:val="0"/>
                <w:i w:val="0"/>
                <w:sz w:val="20"/>
              </w:rPr>
              <w:t>Verkehrswert: 685.000,00 EUR</w:t>
            </w:r>
          </w:p>
        </w:tc>
      </w:tr>
    </w:tbl>
    <w:p/>
    <w:p>
      <w:pPr>
        <w:spacing w:before="80" w:after="80"/>
      </w:pPr>
      <w:r>
        <w:rPr>
          <w:rFonts w:ascii="Calibri" w:hAnsi="Calibri"/>
          <w:b w:val="0"/>
          <w:i w:val="0"/>
          <w:color w:val="969696"/>
          <w:sz w:val="16"/>
        </w:rPr>
        <w:t>──────────────────────────────────────────────────────────────────────</w:t>
      </w:r>
    </w:p>
    <w:p>
      <w:pPr>
        <w:spacing w:before="240" w:after="80"/>
        <w:jc w:val="left"/>
      </w:pPr>
      <w:r>
        <w:rPr>
          <w:rFonts w:ascii="Calibri" w:hAnsi="Calibri"/>
          <w:b/>
          <w:i w:val="0"/>
          <w:sz w:val="26"/>
        </w:rPr>
        <w:t>1. Aufgabe und Auftrag</w:t>
      </w:r>
    </w:p>
    <w:p>
      <w:pPr>
        <w:spacing w:after="120"/>
      </w:pPr>
      <w:r>
        <w:rPr>
          <w:rFonts w:ascii="Calibri" w:hAnsi="Calibri"/>
          <w:b w:val="0"/>
          <w:i w:val="0"/>
          <w:sz w:val="22"/>
        </w:rPr>
        <w:t>Das Amtsgericht Hamburg, Abteilung 71, hat den Unterzeichner im Rahmen des Zwangsversteigerungsverfahrens 71 K 18/26 mit der Ermittlung des Verkehrswerts (Marktwerts) der im Betreff genannten Eigentumswohnung beauftragt. Grundlage ist § 74a Abs. 5 ZVG i.V.m. §§ 194, 195 BauGB. Der Verkehrswert ist derjenige Preis, der in dem Zeitpunkt, auf den sich die Ermittlung bezieht, im gewöhnlichen Geschäftsverkehr nach den rechtlichen Gegebenheiten und tatsächlichen Eigenschaften, der sonstigen Beschaffenheit und Lage des Grundstücks ohne Rücksicht auf ungewöhnliche oder persönliche Verhältnisse zu erzielen wäre.</w:t>
      </w:r>
    </w:p>
    <w:p>
      <w:pPr>
        <w:spacing w:after="120"/>
      </w:pPr>
      <w:r>
        <w:rPr>
          <w:rFonts w:ascii="Calibri" w:hAnsi="Calibri"/>
          <w:b w:val="0"/>
          <w:i w:val="0"/>
          <w:sz w:val="22"/>
        </w:rPr>
        <w:t>Eine Innenbesichtigung wurde vom Mieter L. Sommer (fiktiv) trotz mehrfacher Anfrage nicht gestattet. Die Bewertung beruht auf Außenbesichtigung (12.04.2026), Aktenlage, Gutachterausschussdaten Hamburg und öffentlich zugänglichen Vergleichsdaten.</w:t>
      </w:r>
    </w:p>
    <w:p>
      <w:pPr>
        <w:spacing w:before="80" w:after="80"/>
      </w:pPr>
      <w:r>
        <w:rPr>
          <w:rFonts w:ascii="Calibri" w:hAnsi="Calibri"/>
          <w:b w:val="0"/>
          <w:i w:val="0"/>
          <w:color w:val="969696"/>
          <w:sz w:val="16"/>
        </w:rPr>
        <w:t>──────────────────────────────────────────────────────────────────────</w:t>
      </w:r>
    </w:p>
    <w:p>
      <w:pPr>
        <w:spacing w:before="240" w:after="80"/>
        <w:jc w:val="left"/>
      </w:pPr>
      <w:r>
        <w:rPr>
          <w:rFonts w:ascii="Calibri" w:hAnsi="Calibri"/>
          <w:b/>
          <w:i w:val="0"/>
          <w:sz w:val="26"/>
        </w:rPr>
        <w:t>2. Beschreibung des Bewertungsobjekts</w:t>
      </w:r>
    </w:p>
    <w:p>
      <w:pPr>
        <w:spacing w:before="240" w:after="80"/>
        <w:jc w:val="left"/>
      </w:pPr>
      <w:r>
        <w:rPr>
          <w:rFonts w:ascii="Calibri" w:hAnsi="Calibri"/>
          <w:b/>
          <w:i w:val="0"/>
          <w:sz w:val="22"/>
        </w:rPr>
        <w:t>2.1 Lage und Grundstück</w:t>
      </w:r>
    </w:p>
    <w:p>
      <w:pPr>
        <w:spacing w:after="120"/>
      </w:pPr>
      <w:r>
        <w:rPr>
          <w:rFonts w:ascii="Calibri" w:hAnsi="Calibri"/>
          <w:b w:val="0"/>
          <w:i w:val="0"/>
          <w:sz w:val="22"/>
        </w:rPr>
        <w:t>Das Bewertungsobjekt liegt im Stadtteil Hamburg-Eppendorf, einem gewachsenen innerstädtischen Wohnquartier mit überwiegend gründerzeitlicher Bebauung. Die Mikrolage Eppendorfer Mühlenbogen / Heilwigbogen ist charakterisiert durch Altbau-Mehrfamilienhäuser, eine gute ÖPNV-Anbindung (U3, mehrere Buslinien), Nähe zum Eppendorfer Park und gehobene Nahversorgungsinfrastruktur. Die Lage ist als sehr gut einzustufen.</w:t>
      </w:r>
    </w:p>
    <w:tbl>
      <w:tblPr>
        <w:tblStyle w:val="TableGrid"/>
        <w:tblW w:type="auto" w:w="0"/>
        <w:tblLook w:firstColumn="1" w:firstRow="1" w:lastColumn="0" w:lastRow="0" w:noHBand="0" w:noVBand="1" w:val="04A0"/>
      </w:tblPr>
      <w:tblGrid>
        <w:gridCol w:w="4703"/>
        <w:gridCol w:w="4703"/>
      </w:tblGrid>
      <w:tr>
        <w:tc>
          <w:tcPr>
            <w:tcW w:type="dxa" w:w="3402"/>
            <w:shd w:val="clear" w:color="auto" w:fill="D9E1F2"/>
          </w:tcPr>
          <w:p>
            <w:pPr>
              <w:jc w:val="center"/>
            </w:pPr>
            <w:r>
              <w:rPr>
                <w:rFonts w:ascii="Calibri" w:hAnsi="Calibri"/>
                <w:b/>
                <w:i w:val="0"/>
                <w:sz w:val="20"/>
              </w:rPr>
              <w:t>Merkmal</w:t>
            </w:r>
          </w:p>
        </w:tc>
        <w:tc>
          <w:tcPr>
            <w:tcW w:type="dxa" w:w="5669"/>
            <w:shd w:val="clear" w:color="auto" w:fill="D9E1F2"/>
          </w:tcPr>
          <w:p>
            <w:pPr>
              <w:jc w:val="center"/>
            </w:pPr>
            <w:r>
              <w:rPr>
                <w:rFonts w:ascii="Calibri" w:hAnsi="Calibri"/>
                <w:b/>
                <w:i w:val="0"/>
                <w:sz w:val="20"/>
              </w:rPr>
              <w:t>Befund</w:t>
            </w:r>
          </w:p>
        </w:tc>
      </w:tr>
      <w:tr>
        <w:tc>
          <w:tcPr>
            <w:tcW w:type="dxa" w:w="3402"/>
          </w:tcPr>
          <w:p>
            <w:r>
              <w:rPr>
                <w:rFonts w:ascii="Calibri" w:hAnsi="Calibri"/>
                <w:b w:val="0"/>
                <w:i w:val="0"/>
                <w:sz w:val="20"/>
              </w:rPr>
              <w:t>Gemarkung</w:t>
            </w:r>
          </w:p>
        </w:tc>
        <w:tc>
          <w:tcPr>
            <w:tcW w:type="dxa" w:w="5669"/>
          </w:tcPr>
          <w:p>
            <w:r>
              <w:rPr>
                <w:rFonts w:ascii="Calibri" w:hAnsi="Calibri"/>
                <w:b w:val="0"/>
                <w:i w:val="0"/>
                <w:sz w:val="20"/>
              </w:rPr>
              <w:t>Eppendorf</w:t>
            </w:r>
          </w:p>
        </w:tc>
      </w:tr>
      <w:tr>
        <w:tc>
          <w:tcPr>
            <w:tcW w:type="dxa" w:w="3402"/>
          </w:tcPr>
          <w:p>
            <w:r>
              <w:rPr>
                <w:rFonts w:ascii="Calibri" w:hAnsi="Calibri"/>
                <w:b w:val="0"/>
                <w:i w:val="0"/>
                <w:sz w:val="20"/>
              </w:rPr>
              <w:t>Flurstück</w:t>
            </w:r>
          </w:p>
        </w:tc>
        <w:tc>
          <w:tcPr>
            <w:tcW w:type="dxa" w:w="5669"/>
          </w:tcPr>
          <w:p>
            <w:r>
              <w:rPr>
                <w:rFonts w:ascii="Calibri" w:hAnsi="Calibri"/>
                <w:b w:val="0"/>
                <w:i w:val="0"/>
                <w:sz w:val="20"/>
              </w:rPr>
              <w:t>1842/7</w:t>
            </w:r>
          </w:p>
        </w:tc>
      </w:tr>
      <w:tr>
        <w:tc>
          <w:tcPr>
            <w:tcW w:type="dxa" w:w="3402"/>
          </w:tcPr>
          <w:p>
            <w:r>
              <w:rPr>
                <w:rFonts w:ascii="Calibri" w:hAnsi="Calibri"/>
                <w:b w:val="0"/>
                <w:i w:val="0"/>
                <w:sz w:val="20"/>
              </w:rPr>
              <w:t>Grundstücksgröße</w:t>
            </w:r>
          </w:p>
        </w:tc>
        <w:tc>
          <w:tcPr>
            <w:tcW w:type="dxa" w:w="5669"/>
          </w:tcPr>
          <w:p>
            <w:r>
              <w:rPr>
                <w:rFonts w:ascii="Calibri" w:hAnsi="Calibri"/>
                <w:b w:val="0"/>
                <w:i w:val="0"/>
                <w:sz w:val="20"/>
              </w:rPr>
              <w:t>612 qm</w:t>
            </w:r>
          </w:p>
        </w:tc>
      </w:tr>
      <w:tr>
        <w:tc>
          <w:tcPr>
            <w:tcW w:type="dxa" w:w="3402"/>
          </w:tcPr>
          <w:p>
            <w:r>
              <w:rPr>
                <w:rFonts w:ascii="Calibri" w:hAnsi="Calibri"/>
                <w:b w:val="0"/>
                <w:i w:val="0"/>
                <w:sz w:val="20"/>
              </w:rPr>
              <w:t>Miteigentumsanteil</w:t>
            </w:r>
          </w:p>
        </w:tc>
        <w:tc>
          <w:tcPr>
            <w:tcW w:type="dxa" w:w="5669"/>
          </w:tcPr>
          <w:p>
            <w:r>
              <w:rPr>
                <w:rFonts w:ascii="Calibri" w:hAnsi="Calibri"/>
                <w:b w:val="0"/>
                <w:i w:val="0"/>
                <w:sz w:val="20"/>
              </w:rPr>
              <w:t>39,20/1.000</w:t>
            </w:r>
          </w:p>
        </w:tc>
      </w:tr>
      <w:tr>
        <w:tc>
          <w:tcPr>
            <w:tcW w:type="dxa" w:w="3402"/>
          </w:tcPr>
          <w:p>
            <w:r>
              <w:rPr>
                <w:rFonts w:ascii="Calibri" w:hAnsi="Calibri"/>
                <w:b w:val="0"/>
                <w:i w:val="0"/>
                <w:sz w:val="20"/>
              </w:rPr>
              <w:t>GRZ / GFZ</w:t>
            </w:r>
          </w:p>
        </w:tc>
        <w:tc>
          <w:tcPr>
            <w:tcW w:type="dxa" w:w="5669"/>
          </w:tcPr>
          <w:p>
            <w:r>
              <w:rPr>
                <w:rFonts w:ascii="Calibri" w:hAnsi="Calibri"/>
                <w:b w:val="0"/>
                <w:i w:val="0"/>
                <w:sz w:val="20"/>
              </w:rPr>
              <w:t>nicht ermittelt; Altbestand</w:t>
            </w:r>
          </w:p>
        </w:tc>
      </w:tr>
      <w:tr>
        <w:tc>
          <w:tcPr>
            <w:tcW w:type="dxa" w:w="3402"/>
          </w:tcPr>
          <w:p>
            <w:r>
              <w:rPr>
                <w:rFonts w:ascii="Calibri" w:hAnsi="Calibri"/>
                <w:b w:val="0"/>
                <w:i w:val="0"/>
                <w:sz w:val="20"/>
              </w:rPr>
              <w:t>Bebauungsplan</w:t>
            </w:r>
          </w:p>
        </w:tc>
        <w:tc>
          <w:tcPr>
            <w:tcW w:type="dxa" w:w="5669"/>
          </w:tcPr>
          <w:p>
            <w:r>
              <w:rPr>
                <w:rFonts w:ascii="Calibri" w:hAnsi="Calibri"/>
                <w:b w:val="0"/>
                <w:i w:val="0"/>
                <w:sz w:val="20"/>
              </w:rPr>
              <w:t>nicht bekannt; Innenbereich § 34 BauGB</w:t>
            </w:r>
          </w:p>
        </w:tc>
      </w:tr>
      <w:tr>
        <w:tc>
          <w:tcPr>
            <w:tcW w:type="dxa" w:w="3402"/>
          </w:tcPr>
          <w:p>
            <w:r>
              <w:rPr>
                <w:rFonts w:ascii="Calibri" w:hAnsi="Calibri"/>
                <w:b w:val="0"/>
                <w:i w:val="0"/>
                <w:sz w:val="20"/>
              </w:rPr>
              <w:t>Denkmalschutz</w:t>
            </w:r>
          </w:p>
        </w:tc>
        <w:tc>
          <w:tcPr>
            <w:tcW w:type="dxa" w:w="5669"/>
          </w:tcPr>
          <w:p>
            <w:r>
              <w:rPr>
                <w:rFonts w:ascii="Calibri" w:hAnsi="Calibri"/>
                <w:b w:val="0"/>
                <w:i w:val="0"/>
                <w:sz w:val="20"/>
              </w:rPr>
              <w:t>nicht eingetragen; Erhaltungsgebiets-Vermerk Eppendorf-Ost (fiktiv)</w:t>
            </w:r>
          </w:p>
        </w:tc>
      </w:tr>
    </w:tbl>
    <w:p/>
    <w:p>
      <w:pPr>
        <w:spacing w:before="240" w:after="80"/>
        <w:jc w:val="left"/>
      </w:pPr>
      <w:r>
        <w:rPr>
          <w:rFonts w:ascii="Calibri" w:hAnsi="Calibri"/>
          <w:b/>
          <w:i w:val="0"/>
          <w:sz w:val="22"/>
        </w:rPr>
        <w:t>2.2 Gebäude</w:t>
      </w:r>
    </w:p>
    <w:p>
      <w:pPr>
        <w:spacing w:after="120"/>
      </w:pPr>
      <w:r>
        <w:rPr>
          <w:rFonts w:ascii="Calibri" w:hAnsi="Calibri"/>
          <w:b w:val="0"/>
          <w:i w:val="0"/>
          <w:sz w:val="22"/>
        </w:rPr>
        <w:t>Das Gebäude ist ein Altbau-Mehrfamilienhaus mit Vorderhaus und Seitenflügel, errichtet um 1890. Das Dachgeschoss wurde um 1994 ausgebaut. Das Vorderhaus ist fünfgeschossig (Erdgeschoss + vier Obergeschosse + DG). Die Fassade zeigt baujahrestypische Stuck- und Putzgliederung; bei der Außenbesichtigung wurden kleinere Putzausbrüche im Bereich des 3. Obergeschosses links festgestellt.</w:t>
      </w:r>
    </w:p>
    <w:tbl>
      <w:tblPr>
        <w:tblStyle w:val="TableGrid"/>
        <w:tblW w:type="auto" w:w="0"/>
        <w:tblLook w:firstColumn="1" w:firstRow="1" w:lastColumn="0" w:lastRow="0" w:noHBand="0" w:noVBand="1" w:val="04A0"/>
      </w:tblPr>
      <w:tblGrid>
        <w:gridCol w:w="4703"/>
        <w:gridCol w:w="4703"/>
      </w:tblGrid>
      <w:tr>
        <w:tc>
          <w:tcPr>
            <w:tcW w:type="dxa" w:w="3402"/>
            <w:shd w:val="clear" w:color="auto" w:fill="D9E1F2"/>
          </w:tcPr>
          <w:p>
            <w:pPr>
              <w:jc w:val="center"/>
            </w:pPr>
            <w:r>
              <w:rPr>
                <w:rFonts w:ascii="Calibri" w:hAnsi="Calibri"/>
                <w:b/>
                <w:i w:val="0"/>
                <w:sz w:val="20"/>
              </w:rPr>
              <w:t>Merkmal</w:t>
            </w:r>
          </w:p>
        </w:tc>
        <w:tc>
          <w:tcPr>
            <w:tcW w:type="dxa" w:w="5669"/>
            <w:shd w:val="clear" w:color="auto" w:fill="D9E1F2"/>
          </w:tcPr>
          <w:p>
            <w:pPr>
              <w:jc w:val="center"/>
            </w:pPr>
            <w:r>
              <w:rPr>
                <w:rFonts w:ascii="Calibri" w:hAnsi="Calibri"/>
                <w:b/>
                <w:i w:val="0"/>
                <w:sz w:val="20"/>
              </w:rPr>
              <w:t>Befund</w:t>
            </w:r>
          </w:p>
        </w:tc>
      </w:tr>
      <w:tr>
        <w:tc>
          <w:tcPr>
            <w:tcW w:type="dxa" w:w="3402"/>
          </w:tcPr>
          <w:p>
            <w:r>
              <w:rPr>
                <w:rFonts w:ascii="Calibri" w:hAnsi="Calibri"/>
                <w:b w:val="0"/>
                <w:i w:val="0"/>
                <w:sz w:val="20"/>
              </w:rPr>
              <w:t>Baujahr Vorderhaus</w:t>
            </w:r>
          </w:p>
        </w:tc>
        <w:tc>
          <w:tcPr>
            <w:tcW w:type="dxa" w:w="5669"/>
          </w:tcPr>
          <w:p>
            <w:r>
              <w:rPr>
                <w:rFonts w:ascii="Calibri" w:hAnsi="Calibri"/>
                <w:b w:val="0"/>
                <w:i w:val="0"/>
                <w:sz w:val="20"/>
              </w:rPr>
              <w:t>um 1890</w:t>
            </w:r>
          </w:p>
        </w:tc>
      </w:tr>
      <w:tr>
        <w:tc>
          <w:tcPr>
            <w:tcW w:type="dxa" w:w="3402"/>
          </w:tcPr>
          <w:p>
            <w:r>
              <w:rPr>
                <w:rFonts w:ascii="Calibri" w:hAnsi="Calibri"/>
                <w:b w:val="0"/>
                <w:i w:val="0"/>
                <w:sz w:val="20"/>
              </w:rPr>
              <w:t>Baujahr DG-Ausbau</w:t>
            </w:r>
          </w:p>
        </w:tc>
        <w:tc>
          <w:tcPr>
            <w:tcW w:type="dxa" w:w="5669"/>
          </w:tcPr>
          <w:p>
            <w:r>
              <w:rPr>
                <w:rFonts w:ascii="Calibri" w:hAnsi="Calibri"/>
                <w:b w:val="0"/>
                <w:i w:val="0"/>
                <w:sz w:val="20"/>
              </w:rPr>
              <w:t>um 1994</w:t>
            </w:r>
          </w:p>
        </w:tc>
      </w:tr>
      <w:tr>
        <w:tc>
          <w:tcPr>
            <w:tcW w:type="dxa" w:w="3402"/>
          </w:tcPr>
          <w:p>
            <w:r>
              <w:rPr>
                <w:rFonts w:ascii="Calibri" w:hAnsi="Calibri"/>
                <w:b w:val="0"/>
                <w:i w:val="0"/>
                <w:sz w:val="20"/>
              </w:rPr>
              <w:t>Bauweise</w:t>
            </w:r>
          </w:p>
        </w:tc>
        <w:tc>
          <w:tcPr>
            <w:tcW w:type="dxa" w:w="5669"/>
          </w:tcPr>
          <w:p>
            <w:r>
              <w:rPr>
                <w:rFonts w:ascii="Calibri" w:hAnsi="Calibri"/>
                <w:b w:val="0"/>
                <w:i w:val="0"/>
                <w:sz w:val="20"/>
              </w:rPr>
              <w:t>Massivbau, Ziegelmauerwerk</w:t>
            </w:r>
          </w:p>
        </w:tc>
      </w:tr>
      <w:tr>
        <w:tc>
          <w:tcPr>
            <w:tcW w:type="dxa" w:w="3402"/>
          </w:tcPr>
          <w:p>
            <w:r>
              <w:rPr>
                <w:rFonts w:ascii="Calibri" w:hAnsi="Calibri"/>
                <w:b w:val="0"/>
                <w:i w:val="0"/>
                <w:sz w:val="20"/>
              </w:rPr>
              <w:t>Heizung</w:t>
            </w:r>
          </w:p>
        </w:tc>
        <w:tc>
          <w:tcPr>
            <w:tcW w:type="dxa" w:w="5669"/>
          </w:tcPr>
          <w:p>
            <w:r>
              <w:rPr>
                <w:rFonts w:ascii="Calibri" w:hAnsi="Calibri"/>
                <w:b w:val="0"/>
                <w:i w:val="0"/>
                <w:sz w:val="20"/>
              </w:rPr>
              <w:t>Zentralheizung (Gas), laut Mietvertrag</w:t>
            </w:r>
          </w:p>
        </w:tc>
      </w:tr>
      <w:tr>
        <w:tc>
          <w:tcPr>
            <w:tcW w:type="dxa" w:w="3402"/>
          </w:tcPr>
          <w:p>
            <w:r>
              <w:rPr>
                <w:rFonts w:ascii="Calibri" w:hAnsi="Calibri"/>
                <w:b w:val="0"/>
                <w:i w:val="0"/>
                <w:sz w:val="20"/>
              </w:rPr>
              <w:t>Dach</w:t>
            </w:r>
          </w:p>
        </w:tc>
        <w:tc>
          <w:tcPr>
            <w:tcW w:type="dxa" w:w="5669"/>
          </w:tcPr>
          <w:p>
            <w:r>
              <w:rPr>
                <w:rFonts w:ascii="Calibri" w:hAnsi="Calibri"/>
                <w:b w:val="0"/>
                <w:i w:val="0"/>
                <w:sz w:val="20"/>
              </w:rPr>
              <w:t>Steildach mit DG-Ausbau, Zustand von außen unauffällig</w:t>
            </w:r>
          </w:p>
        </w:tc>
      </w:tr>
      <w:tr>
        <w:tc>
          <w:tcPr>
            <w:tcW w:type="dxa" w:w="3402"/>
          </w:tcPr>
          <w:p>
            <w:r>
              <w:rPr>
                <w:rFonts w:ascii="Calibri" w:hAnsi="Calibri"/>
                <w:b w:val="0"/>
                <w:i w:val="0"/>
                <w:sz w:val="20"/>
              </w:rPr>
              <w:t>Fassade</w:t>
            </w:r>
          </w:p>
        </w:tc>
        <w:tc>
          <w:tcPr>
            <w:tcW w:type="dxa" w:w="5669"/>
          </w:tcPr>
          <w:p>
            <w:r>
              <w:rPr>
                <w:rFonts w:ascii="Calibri" w:hAnsi="Calibri"/>
                <w:b w:val="0"/>
                <w:i w:val="0"/>
                <w:sz w:val="20"/>
              </w:rPr>
              <w:t>Putz/Stuck, kleinere Schäden an OG 3 links</w:t>
            </w:r>
          </w:p>
        </w:tc>
      </w:tr>
      <w:tr>
        <w:tc>
          <w:tcPr>
            <w:tcW w:type="dxa" w:w="3402"/>
          </w:tcPr>
          <w:p>
            <w:r>
              <w:rPr>
                <w:rFonts w:ascii="Calibri" w:hAnsi="Calibri"/>
                <w:b w:val="0"/>
                <w:i w:val="0"/>
                <w:sz w:val="20"/>
              </w:rPr>
              <w:t>Treppenhaus</w:t>
            </w:r>
          </w:p>
        </w:tc>
        <w:tc>
          <w:tcPr>
            <w:tcW w:type="dxa" w:w="5669"/>
          </w:tcPr>
          <w:p>
            <w:r>
              <w:rPr>
                <w:rFonts w:ascii="Calibri" w:hAnsi="Calibri"/>
                <w:b w:val="0"/>
                <w:i w:val="0"/>
                <w:sz w:val="20"/>
              </w:rPr>
              <w:t>Zustand bei Augenschein von innen (Eingangstür): mittelmäßig</w:t>
            </w:r>
          </w:p>
        </w:tc>
      </w:tr>
      <w:tr>
        <w:tc>
          <w:tcPr>
            <w:tcW w:type="dxa" w:w="3402"/>
          </w:tcPr>
          <w:p>
            <w:r>
              <w:rPr>
                <w:rFonts w:ascii="Calibri" w:hAnsi="Calibri"/>
                <w:b w:val="0"/>
                <w:i w:val="0"/>
                <w:sz w:val="20"/>
              </w:rPr>
              <w:t>Aufzug</w:t>
            </w:r>
          </w:p>
        </w:tc>
        <w:tc>
          <w:tcPr>
            <w:tcW w:type="dxa" w:w="5669"/>
          </w:tcPr>
          <w:p>
            <w:r>
              <w:rPr>
                <w:rFonts w:ascii="Calibri" w:hAnsi="Calibri"/>
                <w:b w:val="0"/>
                <w:i w:val="0"/>
                <w:sz w:val="20"/>
              </w:rPr>
              <w:t>Nicht vorhanden (laut Teilungserklärung)</w:t>
            </w:r>
          </w:p>
        </w:tc>
      </w:tr>
      <w:tr>
        <w:tc>
          <w:tcPr>
            <w:tcW w:type="dxa" w:w="3402"/>
          </w:tcPr>
          <w:p>
            <w:r>
              <w:rPr>
                <w:rFonts w:ascii="Calibri" w:hAnsi="Calibri"/>
                <w:b w:val="0"/>
                <w:i w:val="0"/>
                <w:sz w:val="20"/>
              </w:rPr>
              <w:t>Wohneinheiten im Gebäude</w:t>
            </w:r>
          </w:p>
        </w:tc>
        <w:tc>
          <w:tcPr>
            <w:tcW w:type="dxa" w:w="5669"/>
          </w:tcPr>
          <w:p>
            <w:r>
              <w:rPr>
                <w:rFonts w:ascii="Calibri" w:hAnsi="Calibri"/>
                <w:b w:val="0"/>
                <w:i w:val="0"/>
                <w:sz w:val="20"/>
              </w:rPr>
              <w:t>Schätzung 12–14 Einheiten</w:t>
            </w:r>
          </w:p>
        </w:tc>
      </w:tr>
    </w:tbl>
    <w:p/>
    <w:p>
      <w:pPr>
        <w:spacing w:before="240" w:after="80"/>
        <w:jc w:val="left"/>
      </w:pPr>
      <w:r>
        <w:rPr>
          <w:rFonts w:ascii="Calibri" w:hAnsi="Calibri"/>
          <w:b/>
          <w:i w:val="0"/>
          <w:sz w:val="22"/>
        </w:rPr>
        <w:t>2.3 Bewertungseinheit</w:t>
      </w:r>
    </w:p>
    <w:p>
      <w:pPr>
        <w:spacing w:after="120"/>
      </w:pPr>
      <w:r>
        <w:rPr>
          <w:rFonts w:ascii="Calibri" w:hAnsi="Calibri"/>
          <w:b w:val="0"/>
          <w:i w:val="0"/>
          <w:sz w:val="22"/>
        </w:rPr>
        <w:t>Die Bewertungseinheit ist die Eigentumswohnung Nr. 9 im 3. Obergeschoss links des Vorderhauses. Sie ist durch Teilungserklärung und Grundbuch ausgewiesen.</w:t>
      </w:r>
    </w:p>
    <w:tbl>
      <w:tblPr>
        <w:tblStyle w:val="TableGrid"/>
        <w:tblW w:type="auto" w:w="0"/>
        <w:tblLook w:firstColumn="1" w:firstRow="1" w:lastColumn="0" w:lastRow="0" w:noHBand="0" w:noVBand="1" w:val="04A0"/>
      </w:tblPr>
      <w:tblGrid>
        <w:gridCol w:w="4703"/>
        <w:gridCol w:w="4703"/>
      </w:tblGrid>
      <w:tr>
        <w:tc>
          <w:tcPr>
            <w:tcW w:type="dxa" w:w="3402"/>
            <w:shd w:val="clear" w:color="auto" w:fill="D9E1F2"/>
          </w:tcPr>
          <w:p>
            <w:pPr>
              <w:jc w:val="center"/>
            </w:pPr>
            <w:r>
              <w:rPr>
                <w:rFonts w:ascii="Calibri" w:hAnsi="Calibri"/>
                <w:b/>
                <w:i w:val="0"/>
                <w:sz w:val="20"/>
              </w:rPr>
              <w:t>Merkmal</w:t>
            </w:r>
          </w:p>
        </w:tc>
        <w:tc>
          <w:tcPr>
            <w:tcW w:type="dxa" w:w="5669"/>
            <w:shd w:val="clear" w:color="auto" w:fill="D9E1F2"/>
          </w:tcPr>
          <w:p>
            <w:pPr>
              <w:jc w:val="center"/>
            </w:pPr>
            <w:r>
              <w:rPr>
                <w:rFonts w:ascii="Calibri" w:hAnsi="Calibri"/>
                <w:b/>
                <w:i w:val="0"/>
                <w:sz w:val="20"/>
              </w:rPr>
              <w:t>Befund</w:t>
            </w:r>
          </w:p>
        </w:tc>
      </w:tr>
      <w:tr>
        <w:tc>
          <w:tcPr>
            <w:tcW w:type="dxa" w:w="3402"/>
          </w:tcPr>
          <w:p>
            <w:r>
              <w:rPr>
                <w:rFonts w:ascii="Calibri" w:hAnsi="Calibri"/>
                <w:b w:val="0"/>
                <w:i w:val="0"/>
                <w:sz w:val="20"/>
              </w:rPr>
              <w:t>Einheitennummer</w:t>
            </w:r>
          </w:p>
        </w:tc>
        <w:tc>
          <w:tcPr>
            <w:tcW w:type="dxa" w:w="5669"/>
          </w:tcPr>
          <w:p>
            <w:r>
              <w:rPr>
                <w:rFonts w:ascii="Calibri" w:hAnsi="Calibri"/>
                <w:b w:val="0"/>
                <w:i w:val="0"/>
                <w:sz w:val="20"/>
              </w:rPr>
              <w:t>WE Nr. 9</w:t>
            </w:r>
          </w:p>
        </w:tc>
      </w:tr>
      <w:tr>
        <w:tc>
          <w:tcPr>
            <w:tcW w:type="dxa" w:w="3402"/>
          </w:tcPr>
          <w:p>
            <w:r>
              <w:rPr>
                <w:rFonts w:ascii="Calibri" w:hAnsi="Calibri"/>
                <w:b w:val="0"/>
                <w:i w:val="0"/>
                <w:sz w:val="20"/>
              </w:rPr>
              <w:t>Geschoss</w:t>
            </w:r>
          </w:p>
        </w:tc>
        <w:tc>
          <w:tcPr>
            <w:tcW w:type="dxa" w:w="5669"/>
          </w:tcPr>
          <w:p>
            <w:r>
              <w:rPr>
                <w:rFonts w:ascii="Calibri" w:hAnsi="Calibri"/>
                <w:b w:val="0"/>
                <w:i w:val="0"/>
                <w:sz w:val="20"/>
              </w:rPr>
              <w:t>3. Obergeschoss links</w:t>
            </w:r>
          </w:p>
        </w:tc>
      </w:tr>
      <w:tr>
        <w:tc>
          <w:tcPr>
            <w:tcW w:type="dxa" w:w="3402"/>
          </w:tcPr>
          <w:p>
            <w:r>
              <w:rPr>
                <w:rFonts w:ascii="Calibri" w:hAnsi="Calibri"/>
                <w:b w:val="0"/>
                <w:i w:val="0"/>
                <w:sz w:val="20"/>
              </w:rPr>
              <w:t>Zimmer</w:t>
            </w:r>
          </w:p>
        </w:tc>
        <w:tc>
          <w:tcPr>
            <w:tcW w:type="dxa" w:w="5669"/>
          </w:tcPr>
          <w:p>
            <w:r>
              <w:rPr>
                <w:rFonts w:ascii="Calibri" w:hAnsi="Calibri"/>
                <w:b w:val="0"/>
                <w:i w:val="0"/>
                <w:sz w:val="20"/>
              </w:rPr>
              <w:t>3 (Wohn- / Esszimmer, Schlafzimmer, Arbeitszimmer)</w:t>
            </w:r>
          </w:p>
        </w:tc>
      </w:tr>
      <w:tr>
        <w:tc>
          <w:tcPr>
            <w:tcW w:type="dxa" w:w="3402"/>
          </w:tcPr>
          <w:p>
            <w:r>
              <w:rPr>
                <w:rFonts w:ascii="Calibri" w:hAnsi="Calibri"/>
                <w:b w:val="0"/>
                <w:i w:val="0"/>
                <w:sz w:val="20"/>
              </w:rPr>
              <w:t>Nebenräume</w:t>
            </w:r>
          </w:p>
        </w:tc>
        <w:tc>
          <w:tcPr>
            <w:tcW w:type="dxa" w:w="5669"/>
          </w:tcPr>
          <w:p>
            <w:r>
              <w:rPr>
                <w:rFonts w:ascii="Calibri" w:hAnsi="Calibri"/>
                <w:b w:val="0"/>
                <w:i w:val="0"/>
                <w:sz w:val="20"/>
              </w:rPr>
              <w:t>Diele, Küche, Bad/WC, Balkon zur Hofseite</w:t>
            </w:r>
          </w:p>
        </w:tc>
      </w:tr>
      <w:tr>
        <w:tc>
          <w:tcPr>
            <w:tcW w:type="dxa" w:w="3402"/>
          </w:tcPr>
          <w:p>
            <w:r>
              <w:rPr>
                <w:rFonts w:ascii="Calibri" w:hAnsi="Calibri"/>
                <w:b w:val="0"/>
                <w:i w:val="0"/>
                <w:sz w:val="20"/>
              </w:rPr>
              <w:t>Wohnfläche laut TE</w:t>
            </w:r>
          </w:p>
        </w:tc>
        <w:tc>
          <w:tcPr>
            <w:tcW w:type="dxa" w:w="5669"/>
          </w:tcPr>
          <w:p>
            <w:r>
              <w:rPr>
                <w:rFonts w:ascii="Calibri" w:hAnsi="Calibri"/>
                <w:b w:val="0"/>
                <w:i w:val="0"/>
                <w:sz w:val="20"/>
              </w:rPr>
              <w:t>95,30 qm</w:t>
            </w:r>
          </w:p>
        </w:tc>
      </w:tr>
      <w:tr>
        <w:tc>
          <w:tcPr>
            <w:tcW w:type="dxa" w:w="3402"/>
          </w:tcPr>
          <w:p>
            <w:r>
              <w:rPr>
                <w:rFonts w:ascii="Calibri" w:hAnsi="Calibri"/>
                <w:b w:val="0"/>
                <w:i w:val="0"/>
                <w:sz w:val="20"/>
              </w:rPr>
              <w:t>Nutzung</w:t>
            </w:r>
          </w:p>
        </w:tc>
        <w:tc>
          <w:tcPr>
            <w:tcW w:type="dxa" w:w="5669"/>
          </w:tcPr>
          <w:p>
            <w:r>
              <w:rPr>
                <w:rFonts w:ascii="Calibri" w:hAnsi="Calibri"/>
                <w:b w:val="0"/>
                <w:i w:val="0"/>
                <w:sz w:val="20"/>
              </w:rPr>
              <w:t>Wohnraummiete seit 01.11.2021</w:t>
            </w:r>
          </w:p>
        </w:tc>
      </w:tr>
      <w:tr>
        <w:tc>
          <w:tcPr>
            <w:tcW w:type="dxa" w:w="3402"/>
          </w:tcPr>
          <w:p>
            <w:r>
              <w:rPr>
                <w:rFonts w:ascii="Calibri" w:hAnsi="Calibri"/>
                <w:b w:val="0"/>
                <w:i w:val="0"/>
                <w:sz w:val="20"/>
              </w:rPr>
              <w:t>Keller</w:t>
            </w:r>
          </w:p>
        </w:tc>
        <w:tc>
          <w:tcPr>
            <w:tcW w:type="dxa" w:w="5669"/>
          </w:tcPr>
          <w:p>
            <w:r>
              <w:rPr>
                <w:rFonts w:ascii="Calibri" w:hAnsi="Calibri"/>
                <w:b w:val="0"/>
                <w:i w:val="0"/>
                <w:sz w:val="20"/>
              </w:rPr>
              <w:t>Abstellraum im UG zugeordnet (laut TE)</w:t>
            </w:r>
          </w:p>
        </w:tc>
      </w:tr>
      <w:tr>
        <w:tc>
          <w:tcPr>
            <w:tcW w:type="dxa" w:w="3402"/>
          </w:tcPr>
          <w:p>
            <w:r>
              <w:rPr>
                <w:rFonts w:ascii="Calibri" w:hAnsi="Calibri"/>
                <w:b w:val="0"/>
                <w:i w:val="0"/>
                <w:sz w:val="20"/>
              </w:rPr>
              <w:t>Sondernutzungsrecht</w:t>
            </w:r>
          </w:p>
        </w:tc>
        <w:tc>
          <w:tcPr>
            <w:tcW w:type="dxa" w:w="5669"/>
          </w:tcPr>
          <w:p>
            <w:r>
              <w:rPr>
                <w:rFonts w:ascii="Calibri" w:hAnsi="Calibri"/>
                <w:b w:val="0"/>
                <w:i w:val="0"/>
                <w:sz w:val="20"/>
              </w:rPr>
              <w:t>keines bekannt</w:t>
            </w:r>
          </w:p>
        </w:tc>
      </w:tr>
    </w:tbl>
    <w:p/>
    <w:p>
      <w:pPr>
        <w:spacing w:before="80" w:after="80"/>
      </w:pPr>
      <w:r>
        <w:rPr>
          <w:rFonts w:ascii="Calibri" w:hAnsi="Calibri"/>
          <w:b w:val="0"/>
          <w:i w:val="0"/>
          <w:color w:val="969696"/>
          <w:sz w:val="16"/>
        </w:rPr>
        <w:t>──────────────────────────────────────────────────────────────────────</w:t>
      </w:r>
    </w:p>
    <w:p>
      <w:pPr>
        <w:spacing w:before="240" w:after="80"/>
        <w:jc w:val="left"/>
      </w:pPr>
      <w:r>
        <w:rPr>
          <w:rFonts w:ascii="Calibri" w:hAnsi="Calibri"/>
          <w:b/>
          <w:i w:val="0"/>
          <w:sz w:val="26"/>
        </w:rPr>
        <w:t>3. Rechtliche und wirtschaftliche Verhältnisse</w:t>
      </w:r>
    </w:p>
    <w:p>
      <w:pPr>
        <w:spacing w:after="120"/>
      </w:pPr>
      <w:r>
        <w:rPr>
          <w:rFonts w:ascii="Calibri" w:hAnsi="Calibri"/>
          <w:b w:val="0"/>
          <w:i w:val="0"/>
          <w:sz w:val="22"/>
        </w:rPr>
        <w:t>Zum Wertermittlungsstichtag ist die Wohnung vermietet. Es besteht ein Mietvertrag vom 26.08.2021 zwischen der Erbengemeinschaft Albrecht (fiktiv) und L. Sommer (fiktiv). Die anfängliche Nettokaltmiete von 850,00 EUR wurde mit Renovierungsleistungen des Mieters begründet; seit dem 01.05.2023 beträgt die Nettokaltmiete 1.320,00 EUR monatlich.</w:t>
      </w:r>
    </w:p>
    <w:tbl>
      <w:tblPr>
        <w:tblStyle w:val="TableGrid"/>
        <w:tblW w:type="auto" w:w="0"/>
        <w:tblLook w:firstColumn="1" w:firstRow="1" w:lastColumn="0" w:lastRow="0" w:noHBand="0" w:noVBand="1" w:val="04A0"/>
      </w:tblPr>
      <w:tblGrid>
        <w:gridCol w:w="2351"/>
        <w:gridCol w:w="2351"/>
        <w:gridCol w:w="2351"/>
        <w:gridCol w:w="2351"/>
      </w:tblGrid>
      <w:tr>
        <w:tc>
          <w:tcPr>
            <w:tcW w:type="dxa" w:w="2835"/>
            <w:shd w:val="clear" w:color="auto" w:fill="D9E1F2"/>
          </w:tcPr>
          <w:p>
            <w:pPr>
              <w:jc w:val="center"/>
            </w:pPr>
            <w:r>
              <w:rPr>
                <w:rFonts w:ascii="Calibri" w:hAnsi="Calibri"/>
                <w:b/>
                <w:i w:val="0"/>
                <w:sz w:val="20"/>
              </w:rPr>
              <w:t>Zeitraum</w:t>
            </w:r>
          </w:p>
        </w:tc>
        <w:tc>
          <w:tcPr>
            <w:tcW w:type="dxa" w:w="2268"/>
            <w:shd w:val="clear" w:color="auto" w:fill="D9E1F2"/>
          </w:tcPr>
          <w:p>
            <w:pPr>
              <w:jc w:val="center"/>
            </w:pPr>
            <w:r>
              <w:rPr>
                <w:rFonts w:ascii="Calibri" w:hAnsi="Calibri"/>
                <w:b/>
                <w:i w:val="0"/>
                <w:sz w:val="20"/>
              </w:rPr>
              <w:t>Nettokaltmiete</w:t>
            </w:r>
          </w:p>
        </w:tc>
        <w:tc>
          <w:tcPr>
            <w:tcW w:type="dxa" w:w="2551"/>
            <w:shd w:val="clear" w:color="auto" w:fill="D9E1F2"/>
          </w:tcPr>
          <w:p>
            <w:pPr>
              <w:jc w:val="center"/>
            </w:pPr>
            <w:r>
              <w:rPr>
                <w:rFonts w:ascii="Calibri" w:hAnsi="Calibri"/>
                <w:b/>
                <w:i w:val="0"/>
                <w:sz w:val="20"/>
              </w:rPr>
              <w:t>BK-Vorauszahlung</w:t>
            </w:r>
          </w:p>
        </w:tc>
        <w:tc>
          <w:tcPr>
            <w:tcW w:type="dxa" w:w="1984"/>
            <w:shd w:val="clear" w:color="auto" w:fill="D9E1F2"/>
          </w:tcPr>
          <w:p>
            <w:pPr>
              <w:jc w:val="center"/>
            </w:pPr>
            <w:r>
              <w:rPr>
                <w:rFonts w:ascii="Calibri" w:hAnsi="Calibri"/>
                <w:b/>
                <w:i w:val="0"/>
                <w:sz w:val="20"/>
              </w:rPr>
              <w:t>Gesamt</w:t>
            </w:r>
          </w:p>
        </w:tc>
      </w:tr>
      <w:tr>
        <w:tc>
          <w:tcPr>
            <w:tcW w:type="dxa" w:w="2835"/>
          </w:tcPr>
          <w:p>
            <w:r>
              <w:rPr>
                <w:rFonts w:ascii="Calibri" w:hAnsi="Calibri"/>
                <w:b w:val="0"/>
                <w:i w:val="0"/>
                <w:sz w:val="20"/>
              </w:rPr>
              <w:t>01.11.2021 – 30.04.2023</w:t>
            </w:r>
          </w:p>
        </w:tc>
        <w:tc>
          <w:tcPr>
            <w:tcW w:type="dxa" w:w="2268"/>
          </w:tcPr>
          <w:p>
            <w:r>
              <w:rPr>
                <w:rFonts w:ascii="Calibri" w:hAnsi="Calibri"/>
                <w:b w:val="0"/>
                <w:i w:val="0"/>
                <w:sz w:val="20"/>
              </w:rPr>
              <w:t>850,00 EUR</w:t>
            </w:r>
          </w:p>
        </w:tc>
        <w:tc>
          <w:tcPr>
            <w:tcW w:type="dxa" w:w="2551"/>
          </w:tcPr>
          <w:p>
            <w:r>
              <w:rPr>
                <w:rFonts w:ascii="Calibri" w:hAnsi="Calibri"/>
                <w:b w:val="0"/>
                <w:i w:val="0"/>
                <w:sz w:val="20"/>
              </w:rPr>
              <w:t>230,00 EUR</w:t>
            </w:r>
          </w:p>
        </w:tc>
        <w:tc>
          <w:tcPr>
            <w:tcW w:type="dxa" w:w="1984"/>
          </w:tcPr>
          <w:p>
            <w:r>
              <w:rPr>
                <w:rFonts w:ascii="Calibri" w:hAnsi="Calibri"/>
                <w:b w:val="0"/>
                <w:i w:val="0"/>
                <w:sz w:val="20"/>
              </w:rPr>
              <w:t>1.080,00 EUR</w:t>
            </w:r>
          </w:p>
        </w:tc>
      </w:tr>
      <w:tr>
        <w:tc>
          <w:tcPr>
            <w:tcW w:type="dxa" w:w="2835"/>
          </w:tcPr>
          <w:p>
            <w:r>
              <w:rPr>
                <w:rFonts w:ascii="Calibri" w:hAnsi="Calibri"/>
                <w:b w:val="0"/>
                <w:i w:val="0"/>
                <w:sz w:val="20"/>
              </w:rPr>
              <w:t>ab 01.05.2023</w:t>
            </w:r>
          </w:p>
        </w:tc>
        <w:tc>
          <w:tcPr>
            <w:tcW w:type="dxa" w:w="2268"/>
          </w:tcPr>
          <w:p>
            <w:r>
              <w:rPr>
                <w:rFonts w:ascii="Calibri" w:hAnsi="Calibri"/>
                <w:b w:val="0"/>
                <w:i w:val="0"/>
                <w:sz w:val="20"/>
              </w:rPr>
              <w:t>1.320,00 EUR</w:t>
            </w:r>
          </w:p>
        </w:tc>
        <w:tc>
          <w:tcPr>
            <w:tcW w:type="dxa" w:w="2551"/>
          </w:tcPr>
          <w:p>
            <w:r>
              <w:rPr>
                <w:rFonts w:ascii="Calibri" w:hAnsi="Calibri"/>
                <w:b w:val="0"/>
                <w:i w:val="0"/>
                <w:sz w:val="20"/>
              </w:rPr>
              <w:t>260,00 EUR</w:t>
            </w:r>
          </w:p>
        </w:tc>
        <w:tc>
          <w:tcPr>
            <w:tcW w:type="dxa" w:w="1984"/>
          </w:tcPr>
          <w:p>
            <w:r>
              <w:rPr>
                <w:rFonts w:ascii="Calibri" w:hAnsi="Calibri"/>
                <w:b w:val="0"/>
                <w:i w:val="0"/>
                <w:sz w:val="20"/>
              </w:rPr>
              <w:t>1.580,00 EUR</w:t>
            </w:r>
          </w:p>
        </w:tc>
      </w:tr>
    </w:tbl>
    <w:p/>
    <w:p>
      <w:pPr>
        <w:spacing w:after="120"/>
      </w:pPr>
      <w:r>
        <w:rPr>
          <w:rFonts w:ascii="Calibri" w:hAnsi="Calibri"/>
          <w:b w:val="0"/>
          <w:i w:val="0"/>
          <w:sz w:val="22"/>
        </w:rPr>
        <w:t>Am Klingelschild wurden drei Namen festgestellt; am Briefkasten befindet sich zusätzlich die Bezeichnung "Atelier Nordbogen". Die tatsächliche Nutzung ist ungeklärt. Dies wurde bei der Wertfindung als Abschlag berücksichtigt.</w:t>
      </w:r>
    </w:p>
    <w:p>
      <w:pPr>
        <w:spacing w:after="120"/>
      </w:pPr>
      <w:r>
        <w:rPr>
          <w:rFonts w:ascii="Calibri" w:hAnsi="Calibri"/>
          <w:b w:val="0"/>
          <w:i w:val="0"/>
          <w:sz w:val="22"/>
        </w:rPr>
        <w:t>Die WEG erhebt ein monatliches Hausgeld von 512,00 EUR (davon 126,00 EUR Erhaltungsrücklage). Eine Sonderumlage für Steigleitungen und Dachentwässerung steht im Raum; ein Beschluss liegt nicht vor.</w:t>
      </w:r>
    </w:p>
    <w:p>
      <w:pPr>
        <w:spacing w:before="80" w:after="80"/>
      </w:pPr>
      <w:r>
        <w:rPr>
          <w:rFonts w:ascii="Calibri" w:hAnsi="Calibri"/>
          <w:b w:val="0"/>
          <w:i w:val="0"/>
          <w:color w:val="969696"/>
          <w:sz w:val="16"/>
        </w:rPr>
        <w:t>──────────────────────────────────────────────────────────────────────</w:t>
      </w:r>
    </w:p>
    <w:p>
      <w:pPr>
        <w:spacing w:before="240" w:after="80"/>
        <w:jc w:val="left"/>
      </w:pPr>
      <w:r>
        <w:rPr>
          <w:rFonts w:ascii="Calibri" w:hAnsi="Calibri"/>
          <w:b/>
          <w:i w:val="0"/>
          <w:sz w:val="26"/>
        </w:rPr>
        <w:t>4. Wertermittlung – Vergleichswertverfahren</w:t>
      </w:r>
    </w:p>
    <w:p>
      <w:pPr>
        <w:spacing w:after="120"/>
      </w:pPr>
      <w:r>
        <w:rPr>
          <w:rFonts w:ascii="Calibri" w:hAnsi="Calibri"/>
          <w:b w:val="0"/>
          <w:i w:val="0"/>
          <w:sz w:val="22"/>
        </w:rPr>
        <w:t>Da ausreichende Vergleichsdaten für Eigentumswohnungen in Hamburg-Eppendorf vorliegen, wird das Vergleichswertverfahren gemäß §§ 15, 16 ImmoWertV als Hauptmethode herangezogen. Das Ertragswertverfahren dient als Plausibilisierung.</w:t>
      </w:r>
    </w:p>
    <w:p>
      <w:pPr>
        <w:spacing w:before="240" w:after="80"/>
        <w:jc w:val="left"/>
      </w:pPr>
      <w:r>
        <w:rPr>
          <w:rFonts w:ascii="Calibri" w:hAnsi="Calibri"/>
          <w:b/>
          <w:i w:val="0"/>
          <w:sz w:val="22"/>
        </w:rPr>
        <w:t>4.1 Vergleichsdaten</w:t>
      </w:r>
    </w:p>
    <w:tbl>
      <w:tblPr>
        <w:tblStyle w:val="TableGrid"/>
        <w:tblW w:type="auto" w:w="0"/>
        <w:tblLook w:firstColumn="1" w:firstRow="1" w:lastColumn="0" w:lastRow="0" w:noHBand="0" w:noVBand="1" w:val="04A0"/>
      </w:tblPr>
      <w:tblGrid>
        <w:gridCol w:w="1881"/>
        <w:gridCol w:w="1881"/>
        <w:gridCol w:w="1881"/>
        <w:gridCol w:w="1881"/>
        <w:gridCol w:w="1881"/>
      </w:tblGrid>
      <w:tr>
        <w:tc>
          <w:tcPr>
            <w:tcW w:type="dxa" w:w="2835"/>
            <w:shd w:val="clear" w:color="auto" w:fill="D9E1F2"/>
          </w:tcPr>
          <w:p>
            <w:pPr>
              <w:jc w:val="center"/>
            </w:pPr>
            <w:r>
              <w:rPr>
                <w:rFonts w:ascii="Calibri" w:hAnsi="Calibri"/>
                <w:b/>
                <w:i w:val="0"/>
                <w:sz w:val="20"/>
              </w:rPr>
              <w:t>Vergleichsobjekt (fiktiv)</w:t>
            </w:r>
          </w:p>
        </w:tc>
        <w:tc>
          <w:tcPr>
            <w:tcW w:type="dxa" w:w="1984"/>
            <w:shd w:val="clear" w:color="auto" w:fill="D9E1F2"/>
          </w:tcPr>
          <w:p>
            <w:pPr>
              <w:jc w:val="center"/>
            </w:pPr>
            <w:r>
              <w:rPr>
                <w:rFonts w:ascii="Calibri" w:hAnsi="Calibri"/>
                <w:b/>
                <w:i w:val="0"/>
                <w:sz w:val="20"/>
              </w:rPr>
              <w:t>Lage</w:t>
            </w:r>
          </w:p>
        </w:tc>
        <w:tc>
          <w:tcPr>
            <w:tcW w:type="dxa" w:w="1417"/>
            <w:shd w:val="clear" w:color="auto" w:fill="D9E1F2"/>
          </w:tcPr>
          <w:p>
            <w:pPr>
              <w:jc w:val="center"/>
            </w:pPr>
            <w:r>
              <w:rPr>
                <w:rFonts w:ascii="Calibri" w:hAnsi="Calibri"/>
                <w:b/>
                <w:i w:val="0"/>
                <w:sz w:val="20"/>
              </w:rPr>
              <w:t>Wfl. qm</w:t>
            </w:r>
          </w:p>
        </w:tc>
        <w:tc>
          <w:tcPr>
            <w:tcW w:type="dxa" w:w="1701"/>
            <w:shd w:val="clear" w:color="auto" w:fill="D9E1F2"/>
          </w:tcPr>
          <w:p>
            <w:pPr>
              <w:jc w:val="center"/>
            </w:pPr>
            <w:r>
              <w:rPr>
                <w:rFonts w:ascii="Calibri" w:hAnsi="Calibri"/>
                <w:b/>
                <w:i w:val="0"/>
                <w:sz w:val="20"/>
              </w:rPr>
              <w:t>Kaufpreis</w:t>
            </w:r>
          </w:p>
        </w:tc>
        <w:tc>
          <w:tcPr>
            <w:tcW w:type="dxa" w:w="1701"/>
            <w:shd w:val="clear" w:color="auto" w:fill="D9E1F2"/>
          </w:tcPr>
          <w:p>
            <w:pPr>
              <w:jc w:val="center"/>
            </w:pPr>
            <w:r>
              <w:rPr>
                <w:rFonts w:ascii="Calibri" w:hAnsi="Calibri"/>
                <w:b/>
                <w:i w:val="0"/>
                <w:sz w:val="20"/>
              </w:rPr>
              <w:t>EUR/qm</w:t>
            </w:r>
          </w:p>
        </w:tc>
      </w:tr>
      <w:tr>
        <w:tc>
          <w:tcPr>
            <w:tcW w:type="dxa" w:w="2835"/>
          </w:tcPr>
          <w:p>
            <w:r>
              <w:rPr>
                <w:rFonts w:ascii="Calibri" w:hAnsi="Calibri"/>
                <w:b w:val="0"/>
                <w:i w:val="0"/>
                <w:sz w:val="20"/>
              </w:rPr>
              <w:t>V1: Hegestraße (fiktiv)</w:t>
            </w:r>
          </w:p>
        </w:tc>
        <w:tc>
          <w:tcPr>
            <w:tcW w:type="dxa" w:w="1984"/>
          </w:tcPr>
          <w:p>
            <w:r>
              <w:rPr>
                <w:rFonts w:ascii="Calibri" w:hAnsi="Calibri"/>
                <w:b w:val="0"/>
                <w:i w:val="0"/>
                <w:sz w:val="20"/>
              </w:rPr>
              <w:t>Eppendorf</w:t>
            </w:r>
          </w:p>
        </w:tc>
        <w:tc>
          <w:tcPr>
            <w:tcW w:type="dxa" w:w="1417"/>
          </w:tcPr>
          <w:p>
            <w:r>
              <w:rPr>
                <w:rFonts w:ascii="Calibri" w:hAnsi="Calibri"/>
                <w:b w:val="0"/>
                <w:i w:val="0"/>
                <w:sz w:val="20"/>
              </w:rPr>
              <w:t>88,0</w:t>
            </w:r>
          </w:p>
        </w:tc>
        <w:tc>
          <w:tcPr>
            <w:tcW w:type="dxa" w:w="1701"/>
          </w:tcPr>
          <w:p>
            <w:r>
              <w:rPr>
                <w:rFonts w:ascii="Calibri" w:hAnsi="Calibri"/>
                <w:b w:val="0"/>
                <w:i w:val="0"/>
                <w:sz w:val="20"/>
              </w:rPr>
              <w:t>598.000</w:t>
            </w:r>
          </w:p>
        </w:tc>
        <w:tc>
          <w:tcPr>
            <w:tcW w:type="dxa" w:w="1701"/>
          </w:tcPr>
          <w:p>
            <w:r>
              <w:rPr>
                <w:rFonts w:ascii="Calibri" w:hAnsi="Calibri"/>
                <w:b w:val="0"/>
                <w:i w:val="0"/>
                <w:sz w:val="20"/>
              </w:rPr>
              <w:t>6.795</w:t>
            </w:r>
          </w:p>
        </w:tc>
      </w:tr>
      <w:tr>
        <w:tc>
          <w:tcPr>
            <w:tcW w:type="dxa" w:w="2835"/>
          </w:tcPr>
          <w:p>
            <w:r>
              <w:rPr>
                <w:rFonts w:ascii="Calibri" w:hAnsi="Calibri"/>
                <w:b w:val="0"/>
                <w:i w:val="0"/>
                <w:sz w:val="20"/>
              </w:rPr>
              <w:t>V2: Ludolfstraße (fiktiv)</w:t>
            </w:r>
          </w:p>
        </w:tc>
        <w:tc>
          <w:tcPr>
            <w:tcW w:type="dxa" w:w="1984"/>
          </w:tcPr>
          <w:p>
            <w:r>
              <w:rPr>
                <w:rFonts w:ascii="Calibri" w:hAnsi="Calibri"/>
                <w:b w:val="0"/>
                <w:i w:val="0"/>
                <w:sz w:val="20"/>
              </w:rPr>
              <w:t>Eppendorf</w:t>
            </w:r>
          </w:p>
        </w:tc>
        <w:tc>
          <w:tcPr>
            <w:tcW w:type="dxa" w:w="1417"/>
          </w:tcPr>
          <w:p>
            <w:r>
              <w:rPr>
                <w:rFonts w:ascii="Calibri" w:hAnsi="Calibri"/>
                <w:b w:val="0"/>
                <w:i w:val="0"/>
                <w:sz w:val="20"/>
              </w:rPr>
              <w:t>97,5</w:t>
            </w:r>
          </w:p>
        </w:tc>
        <w:tc>
          <w:tcPr>
            <w:tcW w:type="dxa" w:w="1701"/>
          </w:tcPr>
          <w:p>
            <w:r>
              <w:rPr>
                <w:rFonts w:ascii="Calibri" w:hAnsi="Calibri"/>
                <w:b w:val="0"/>
                <w:i w:val="0"/>
                <w:sz w:val="20"/>
              </w:rPr>
              <w:t>675.000</w:t>
            </w:r>
          </w:p>
        </w:tc>
        <w:tc>
          <w:tcPr>
            <w:tcW w:type="dxa" w:w="1701"/>
          </w:tcPr>
          <w:p>
            <w:r>
              <w:rPr>
                <w:rFonts w:ascii="Calibri" w:hAnsi="Calibri"/>
                <w:b w:val="0"/>
                <w:i w:val="0"/>
                <w:sz w:val="20"/>
              </w:rPr>
              <w:t>6.923</w:t>
            </w:r>
          </w:p>
        </w:tc>
      </w:tr>
      <w:tr>
        <w:tc>
          <w:tcPr>
            <w:tcW w:type="dxa" w:w="2835"/>
          </w:tcPr>
          <w:p>
            <w:r>
              <w:rPr>
                <w:rFonts w:ascii="Calibri" w:hAnsi="Calibri"/>
                <w:b w:val="0"/>
                <w:i w:val="0"/>
                <w:sz w:val="20"/>
              </w:rPr>
              <w:t>V3: Erikastraße (fiktiv)</w:t>
            </w:r>
          </w:p>
        </w:tc>
        <w:tc>
          <w:tcPr>
            <w:tcW w:type="dxa" w:w="1984"/>
          </w:tcPr>
          <w:p>
            <w:r>
              <w:rPr>
                <w:rFonts w:ascii="Calibri" w:hAnsi="Calibri"/>
                <w:b w:val="0"/>
                <w:i w:val="0"/>
                <w:sz w:val="20"/>
              </w:rPr>
              <w:t>Eppendorf</w:t>
            </w:r>
          </w:p>
        </w:tc>
        <w:tc>
          <w:tcPr>
            <w:tcW w:type="dxa" w:w="1417"/>
          </w:tcPr>
          <w:p>
            <w:r>
              <w:rPr>
                <w:rFonts w:ascii="Calibri" w:hAnsi="Calibri"/>
                <w:b w:val="0"/>
                <w:i w:val="0"/>
                <w:sz w:val="20"/>
              </w:rPr>
              <w:t>91,0</w:t>
            </w:r>
          </w:p>
        </w:tc>
        <w:tc>
          <w:tcPr>
            <w:tcW w:type="dxa" w:w="1701"/>
          </w:tcPr>
          <w:p>
            <w:r>
              <w:rPr>
                <w:rFonts w:ascii="Calibri" w:hAnsi="Calibri"/>
                <w:b w:val="0"/>
                <w:i w:val="0"/>
                <w:sz w:val="20"/>
              </w:rPr>
              <w:t>636.000</w:t>
            </w:r>
          </w:p>
        </w:tc>
        <w:tc>
          <w:tcPr>
            <w:tcW w:type="dxa" w:w="1701"/>
          </w:tcPr>
          <w:p>
            <w:r>
              <w:rPr>
                <w:rFonts w:ascii="Calibri" w:hAnsi="Calibri"/>
                <w:b w:val="0"/>
                <w:i w:val="0"/>
                <w:sz w:val="20"/>
              </w:rPr>
              <w:t>6.989</w:t>
            </w:r>
          </w:p>
        </w:tc>
      </w:tr>
      <w:tr>
        <w:tc>
          <w:tcPr>
            <w:tcW w:type="dxa" w:w="2835"/>
          </w:tcPr>
          <w:p>
            <w:r>
              <w:rPr>
                <w:rFonts w:ascii="Calibri" w:hAnsi="Calibri"/>
                <w:b w:val="0"/>
                <w:i w:val="0"/>
                <w:sz w:val="20"/>
              </w:rPr>
              <w:t>V4: Geibelstraße (fiktiv)</w:t>
            </w:r>
          </w:p>
        </w:tc>
        <w:tc>
          <w:tcPr>
            <w:tcW w:type="dxa" w:w="1984"/>
          </w:tcPr>
          <w:p>
            <w:r>
              <w:rPr>
                <w:rFonts w:ascii="Calibri" w:hAnsi="Calibri"/>
                <w:b w:val="0"/>
                <w:i w:val="0"/>
                <w:sz w:val="20"/>
              </w:rPr>
              <w:t>Harvestehude</w:t>
            </w:r>
          </w:p>
        </w:tc>
        <w:tc>
          <w:tcPr>
            <w:tcW w:type="dxa" w:w="1417"/>
          </w:tcPr>
          <w:p>
            <w:r>
              <w:rPr>
                <w:rFonts w:ascii="Calibri" w:hAnsi="Calibri"/>
                <w:b w:val="0"/>
                <w:i w:val="0"/>
                <w:sz w:val="20"/>
              </w:rPr>
              <w:t>102,0</w:t>
            </w:r>
          </w:p>
        </w:tc>
        <w:tc>
          <w:tcPr>
            <w:tcW w:type="dxa" w:w="1701"/>
          </w:tcPr>
          <w:p>
            <w:r>
              <w:rPr>
                <w:rFonts w:ascii="Calibri" w:hAnsi="Calibri"/>
                <w:b w:val="0"/>
                <w:i w:val="0"/>
                <w:sz w:val="20"/>
              </w:rPr>
              <w:t>740.000</w:t>
            </w:r>
          </w:p>
        </w:tc>
        <w:tc>
          <w:tcPr>
            <w:tcW w:type="dxa" w:w="1701"/>
          </w:tcPr>
          <w:p>
            <w:r>
              <w:rPr>
                <w:rFonts w:ascii="Calibri" w:hAnsi="Calibri"/>
                <w:b w:val="0"/>
                <w:i w:val="0"/>
                <w:sz w:val="20"/>
              </w:rPr>
              <w:t>7.255</w:t>
            </w:r>
          </w:p>
        </w:tc>
      </w:tr>
      <w:tr>
        <w:tc>
          <w:tcPr>
            <w:tcW w:type="dxa" w:w="2835"/>
          </w:tcPr>
          <w:p>
            <w:r>
              <w:rPr>
                <w:rFonts w:ascii="Calibri" w:hAnsi="Calibri"/>
                <w:b w:val="0"/>
                <w:i w:val="0"/>
                <w:sz w:val="20"/>
              </w:rPr>
              <w:t>V5: Brahmsallee (fiktiv)</w:t>
            </w:r>
          </w:p>
        </w:tc>
        <w:tc>
          <w:tcPr>
            <w:tcW w:type="dxa" w:w="1984"/>
          </w:tcPr>
          <w:p>
            <w:r>
              <w:rPr>
                <w:rFonts w:ascii="Calibri" w:hAnsi="Calibri"/>
                <w:b w:val="0"/>
                <w:i w:val="0"/>
                <w:sz w:val="20"/>
              </w:rPr>
              <w:t>Harvestehude</w:t>
            </w:r>
          </w:p>
        </w:tc>
        <w:tc>
          <w:tcPr>
            <w:tcW w:type="dxa" w:w="1417"/>
          </w:tcPr>
          <w:p>
            <w:r>
              <w:rPr>
                <w:rFonts w:ascii="Calibri" w:hAnsi="Calibri"/>
                <w:b w:val="0"/>
                <w:i w:val="0"/>
                <w:sz w:val="20"/>
              </w:rPr>
              <w:t>83,0</w:t>
            </w:r>
          </w:p>
        </w:tc>
        <w:tc>
          <w:tcPr>
            <w:tcW w:type="dxa" w:w="1701"/>
          </w:tcPr>
          <w:p>
            <w:r>
              <w:rPr>
                <w:rFonts w:ascii="Calibri" w:hAnsi="Calibri"/>
                <w:b w:val="0"/>
                <w:i w:val="0"/>
                <w:sz w:val="20"/>
              </w:rPr>
              <w:t>568.000</w:t>
            </w:r>
          </w:p>
        </w:tc>
        <w:tc>
          <w:tcPr>
            <w:tcW w:type="dxa" w:w="1701"/>
          </w:tcPr>
          <w:p>
            <w:r>
              <w:rPr>
                <w:rFonts w:ascii="Calibri" w:hAnsi="Calibri"/>
                <w:b w:val="0"/>
                <w:i w:val="0"/>
                <w:sz w:val="20"/>
              </w:rPr>
              <w:t>6.843</w:t>
            </w:r>
          </w:p>
        </w:tc>
      </w:tr>
      <w:tr>
        <w:tc>
          <w:tcPr>
            <w:tcW w:type="dxa" w:w="2835"/>
          </w:tcPr>
          <w:p>
            <w:r>
              <w:rPr>
                <w:rFonts w:ascii="Calibri" w:hAnsi="Calibri"/>
                <w:b w:val="0"/>
                <w:i w:val="0"/>
                <w:sz w:val="20"/>
              </w:rPr>
              <w:t>**Mittelwert**</w:t>
            </w:r>
          </w:p>
        </w:tc>
        <w:tc>
          <w:tcPr>
            <w:tcW w:type="dxa" w:w="1984"/>
          </w:tcPr>
          <w:p>
            <w:r>
              <w:rPr>
                <w:rFonts w:ascii="Calibri" w:hAnsi="Calibri"/>
                <w:b w:val="0"/>
                <w:i w:val="0"/>
                <w:sz w:val="20"/>
              </w:rPr>
            </w:r>
          </w:p>
        </w:tc>
        <w:tc>
          <w:tcPr>
            <w:tcW w:type="dxa" w:w="1417"/>
          </w:tcPr>
          <w:p>
            <w:r>
              <w:rPr>
                <w:rFonts w:ascii="Calibri" w:hAnsi="Calibri"/>
                <w:b w:val="0"/>
                <w:i w:val="0"/>
                <w:sz w:val="20"/>
              </w:rPr>
            </w:r>
          </w:p>
        </w:tc>
        <w:tc>
          <w:tcPr>
            <w:tcW w:type="dxa" w:w="1701"/>
          </w:tcPr>
          <w:p>
            <w:r>
              <w:rPr>
                <w:rFonts w:ascii="Calibri" w:hAnsi="Calibri"/>
                <w:b w:val="0"/>
                <w:i w:val="0"/>
                <w:sz w:val="20"/>
              </w:rPr>
            </w:r>
          </w:p>
        </w:tc>
        <w:tc>
          <w:tcPr>
            <w:tcW w:type="dxa" w:w="1701"/>
          </w:tcPr>
          <w:p>
            <w:r>
              <w:rPr>
                <w:rFonts w:ascii="Calibri" w:hAnsi="Calibri"/>
                <w:b w:val="0"/>
                <w:i w:val="0"/>
                <w:sz w:val="20"/>
              </w:rPr>
              <w:t>**6.961**</w:t>
            </w:r>
          </w:p>
        </w:tc>
      </w:tr>
    </w:tbl>
    <w:p/>
    <w:p>
      <w:pPr>
        <w:spacing w:before="240" w:after="80"/>
        <w:jc w:val="left"/>
      </w:pPr>
      <w:r>
        <w:rPr>
          <w:rFonts w:ascii="Calibri" w:hAnsi="Calibri"/>
          <w:b/>
          <w:i w:val="0"/>
          <w:sz w:val="22"/>
        </w:rPr>
        <w:t>4.2 Anpassungen</w:t>
      </w:r>
    </w:p>
    <w:tbl>
      <w:tblPr>
        <w:tblStyle w:val="TableGrid"/>
        <w:tblW w:type="auto" w:w="0"/>
        <w:tblLook w:firstColumn="1" w:firstRow="1" w:lastColumn="0" w:lastRow="0" w:noHBand="0" w:noVBand="1" w:val="04A0"/>
      </w:tblPr>
      <w:tblGrid>
        <w:gridCol w:w="3135"/>
        <w:gridCol w:w="3135"/>
        <w:gridCol w:w="3135"/>
      </w:tblGrid>
      <w:tr>
        <w:tc>
          <w:tcPr>
            <w:tcW w:type="dxa" w:w="4535"/>
            <w:shd w:val="clear" w:color="auto" w:fill="D9E1F2"/>
          </w:tcPr>
          <w:p>
            <w:pPr>
              <w:jc w:val="center"/>
            </w:pPr>
            <w:r>
              <w:rPr>
                <w:rFonts w:ascii="Calibri" w:hAnsi="Calibri"/>
                <w:b/>
                <w:i w:val="0"/>
                <w:sz w:val="20"/>
              </w:rPr>
              <w:t>Korrekturfaktor</w:t>
            </w:r>
          </w:p>
        </w:tc>
        <w:tc>
          <w:tcPr>
            <w:tcW w:type="dxa" w:w="2268"/>
            <w:shd w:val="clear" w:color="auto" w:fill="D9E1F2"/>
          </w:tcPr>
          <w:p>
            <w:pPr>
              <w:jc w:val="center"/>
            </w:pPr>
            <w:r>
              <w:rPr>
                <w:rFonts w:ascii="Calibri" w:hAnsi="Calibri"/>
                <w:b/>
                <w:i w:val="0"/>
                <w:sz w:val="20"/>
              </w:rPr>
              <w:t>Wert</w:t>
            </w:r>
          </w:p>
        </w:tc>
        <w:tc>
          <w:tcPr>
            <w:tcW w:type="dxa" w:w="2835"/>
            <w:shd w:val="clear" w:color="auto" w:fill="D9E1F2"/>
          </w:tcPr>
          <w:p>
            <w:pPr>
              <w:jc w:val="center"/>
            </w:pPr>
            <w:r>
              <w:rPr>
                <w:rFonts w:ascii="Calibri" w:hAnsi="Calibri"/>
                <w:b/>
                <w:i w:val="0"/>
                <w:sz w:val="20"/>
              </w:rPr>
              <w:t>Begründung</w:t>
            </w:r>
          </w:p>
        </w:tc>
      </w:tr>
      <w:tr>
        <w:tc>
          <w:tcPr>
            <w:tcW w:type="dxa" w:w="4535"/>
          </w:tcPr>
          <w:p>
            <w:r>
              <w:rPr>
                <w:rFonts w:ascii="Calibri" w:hAnsi="Calibri"/>
                <w:b w:val="0"/>
                <w:i w:val="0"/>
                <w:sz w:val="20"/>
              </w:rPr>
              <w:t>Rohwert Vergleich (95,30 qm × 6.961 EUR/qm)</w:t>
            </w:r>
          </w:p>
        </w:tc>
        <w:tc>
          <w:tcPr>
            <w:tcW w:type="dxa" w:w="2268"/>
          </w:tcPr>
          <w:p>
            <w:r>
              <w:rPr>
                <w:rFonts w:ascii="Calibri" w:hAnsi="Calibri"/>
                <w:b w:val="0"/>
                <w:i w:val="0"/>
                <w:sz w:val="20"/>
              </w:rPr>
              <w:t>663.386 EUR</w:t>
            </w:r>
          </w:p>
        </w:tc>
        <w:tc>
          <w:tcPr>
            <w:tcW w:type="dxa" w:w="2835"/>
          </w:tcPr>
          <w:p>
            <w:r>
              <w:rPr>
                <w:rFonts w:ascii="Calibri" w:hAnsi="Calibri"/>
                <w:b w:val="0"/>
                <w:i w:val="0"/>
                <w:sz w:val="20"/>
              </w:rPr>
              <w:t>Ableitung aus Vergleichsdaten</w:t>
            </w:r>
          </w:p>
        </w:tc>
      </w:tr>
      <w:tr>
        <w:tc>
          <w:tcPr>
            <w:tcW w:type="dxa" w:w="4535"/>
          </w:tcPr>
          <w:p>
            <w:r>
              <w:rPr>
                <w:rFonts w:ascii="Calibri" w:hAnsi="Calibri"/>
                <w:b w:val="0"/>
                <w:i w:val="0"/>
                <w:sz w:val="20"/>
              </w:rPr>
              <w:t>Lagekorrektur (Eppendorf vs. Harvestehude)</w:t>
            </w:r>
          </w:p>
        </w:tc>
        <w:tc>
          <w:tcPr>
            <w:tcW w:type="dxa" w:w="2268"/>
          </w:tcPr>
          <w:p>
            <w:r>
              <w:rPr>
                <w:rFonts w:ascii="Calibri" w:hAnsi="Calibri"/>
                <w:b w:val="0"/>
                <w:i w:val="0"/>
                <w:sz w:val="20"/>
              </w:rPr>
              <w:t>+0,0 %</w:t>
            </w:r>
          </w:p>
        </w:tc>
        <w:tc>
          <w:tcPr>
            <w:tcW w:type="dxa" w:w="2835"/>
          </w:tcPr>
          <w:p>
            <w:r>
              <w:rPr>
                <w:rFonts w:ascii="Calibri" w:hAnsi="Calibri"/>
                <w:b w:val="0"/>
                <w:i w:val="0"/>
                <w:sz w:val="20"/>
              </w:rPr>
              <w:t>Lageniveau vergleichbar</w:t>
            </w:r>
          </w:p>
        </w:tc>
      </w:tr>
      <w:tr>
        <w:tc>
          <w:tcPr>
            <w:tcW w:type="dxa" w:w="4535"/>
          </w:tcPr>
          <w:p>
            <w:r>
              <w:rPr>
                <w:rFonts w:ascii="Calibri" w:hAnsi="Calibri"/>
                <w:b w:val="0"/>
                <w:i w:val="0"/>
                <w:sz w:val="20"/>
              </w:rPr>
              <w:t>Ausstattungskorrektur (kein Lift, Baujahr 1890)</w:t>
            </w:r>
          </w:p>
        </w:tc>
        <w:tc>
          <w:tcPr>
            <w:tcW w:type="dxa" w:w="2268"/>
          </w:tcPr>
          <w:p>
            <w:r>
              <w:rPr>
                <w:rFonts w:ascii="Calibri" w:hAnsi="Calibri"/>
                <w:b w:val="0"/>
                <w:i w:val="0"/>
                <w:sz w:val="20"/>
              </w:rPr>
              <w:t>−1,5 %</w:t>
            </w:r>
          </w:p>
        </w:tc>
        <w:tc>
          <w:tcPr>
            <w:tcW w:type="dxa" w:w="2835"/>
          </w:tcPr>
          <w:p>
            <w:r>
              <w:rPr>
                <w:rFonts w:ascii="Calibri" w:hAnsi="Calibri"/>
                <w:b w:val="0"/>
                <w:i w:val="0"/>
                <w:sz w:val="20"/>
              </w:rPr>
              <w:t>ca. −9.951 EUR</w:t>
            </w:r>
          </w:p>
        </w:tc>
      </w:tr>
      <w:tr>
        <w:tc>
          <w:tcPr>
            <w:tcW w:type="dxa" w:w="4535"/>
          </w:tcPr>
          <w:p>
            <w:r>
              <w:rPr>
                <w:rFonts w:ascii="Calibri" w:hAnsi="Calibri"/>
                <w:b w:val="0"/>
                <w:i w:val="0"/>
                <w:sz w:val="20"/>
              </w:rPr>
              <w:t>Korrekturfaktor Balkongröße Hofseite</w:t>
            </w:r>
          </w:p>
        </w:tc>
        <w:tc>
          <w:tcPr>
            <w:tcW w:type="dxa" w:w="2268"/>
          </w:tcPr>
          <w:p>
            <w:r>
              <w:rPr>
                <w:rFonts w:ascii="Calibri" w:hAnsi="Calibri"/>
                <w:b w:val="0"/>
                <w:i w:val="0"/>
                <w:sz w:val="20"/>
              </w:rPr>
              <w:t>+0,5 %</w:t>
            </w:r>
          </w:p>
        </w:tc>
        <w:tc>
          <w:tcPr>
            <w:tcW w:type="dxa" w:w="2835"/>
          </w:tcPr>
          <w:p>
            <w:r>
              <w:rPr>
                <w:rFonts w:ascii="Calibri" w:hAnsi="Calibri"/>
                <w:b w:val="0"/>
                <w:i w:val="0"/>
                <w:sz w:val="20"/>
              </w:rPr>
              <w:t>ca. +3.317 EUR</w:t>
            </w:r>
          </w:p>
        </w:tc>
      </w:tr>
      <w:tr>
        <w:tc>
          <w:tcPr>
            <w:tcW w:type="dxa" w:w="4535"/>
          </w:tcPr>
          <w:p>
            <w:r>
              <w:rPr>
                <w:rFonts w:ascii="Calibri" w:hAnsi="Calibri"/>
                <w:b w:val="0"/>
                <w:i w:val="0"/>
                <w:sz w:val="20"/>
              </w:rPr>
              <w:t>Bereinigter Vergleichswert (gerundet)</w:t>
            </w:r>
          </w:p>
        </w:tc>
        <w:tc>
          <w:tcPr>
            <w:tcW w:type="dxa" w:w="2268"/>
          </w:tcPr>
          <w:p>
            <w:r>
              <w:rPr>
                <w:rFonts w:ascii="Calibri" w:hAnsi="Calibri"/>
                <w:b w:val="0"/>
                <w:i w:val="0"/>
                <w:sz w:val="20"/>
              </w:rPr>
              <w:t>≈ 657.000 EUR</w:t>
            </w:r>
          </w:p>
        </w:tc>
        <w:tc>
          <w:tcPr>
            <w:tcW w:type="dxa" w:w="2835"/>
          </w:tcPr>
          <w:p>
            <w:r>
              <w:rPr>
                <w:rFonts w:ascii="Calibri" w:hAnsi="Calibri"/>
                <w:b w:val="0"/>
                <w:i w:val="0"/>
                <w:sz w:val="20"/>
              </w:rPr>
            </w:r>
          </w:p>
        </w:tc>
      </w:tr>
      <w:tr>
        <w:tc>
          <w:tcPr>
            <w:tcW w:type="dxa" w:w="4535"/>
          </w:tcPr>
          <w:p>
            <w:r>
              <w:rPr>
                <w:rFonts w:ascii="Calibri" w:hAnsi="Calibri"/>
                <w:b w:val="0"/>
                <w:i w:val="0"/>
                <w:sz w:val="20"/>
              </w:rPr>
              <w:t>Abschlag fehlende Innenbesichtigung</w:t>
            </w:r>
          </w:p>
        </w:tc>
        <w:tc>
          <w:tcPr>
            <w:tcW w:type="dxa" w:w="2268"/>
          </w:tcPr>
          <w:p>
            <w:r>
              <w:rPr>
                <w:rFonts w:ascii="Calibri" w:hAnsi="Calibri"/>
                <w:b w:val="0"/>
                <w:i w:val="0"/>
                <w:sz w:val="20"/>
              </w:rPr>
              <w:t>−25.000 EUR</w:t>
            </w:r>
          </w:p>
        </w:tc>
        <w:tc>
          <w:tcPr>
            <w:tcW w:type="dxa" w:w="2835"/>
          </w:tcPr>
          <w:p>
            <w:r>
              <w:rPr>
                <w:rFonts w:ascii="Calibri" w:hAnsi="Calibri"/>
                <w:b w:val="0"/>
                <w:i w:val="0"/>
                <w:sz w:val="20"/>
              </w:rPr>
              <w:t>Innenzustand nicht verifiziert</w:t>
            </w:r>
          </w:p>
        </w:tc>
      </w:tr>
      <w:tr>
        <w:tc>
          <w:tcPr>
            <w:tcW w:type="dxa" w:w="4535"/>
          </w:tcPr>
          <w:p>
            <w:r>
              <w:rPr>
                <w:rFonts w:ascii="Calibri" w:hAnsi="Calibri"/>
                <w:b w:val="0"/>
                <w:i w:val="0"/>
                <w:sz w:val="20"/>
              </w:rPr>
              <w:t>Abschlag Miet-/Nutzungsunklarheit</w:t>
            </w:r>
          </w:p>
        </w:tc>
        <w:tc>
          <w:tcPr>
            <w:tcW w:type="dxa" w:w="2268"/>
          </w:tcPr>
          <w:p>
            <w:r>
              <w:rPr>
                <w:rFonts w:ascii="Calibri" w:hAnsi="Calibri"/>
                <w:b w:val="0"/>
                <w:i w:val="0"/>
                <w:sz w:val="20"/>
              </w:rPr>
              <w:t>−10.000 EUR</w:t>
            </w:r>
          </w:p>
        </w:tc>
        <w:tc>
          <w:tcPr>
            <w:tcW w:type="dxa" w:w="2835"/>
          </w:tcPr>
          <w:p>
            <w:r>
              <w:rPr>
                <w:rFonts w:ascii="Calibri" w:hAnsi="Calibri"/>
                <w:b w:val="0"/>
                <w:i w:val="0"/>
                <w:sz w:val="20"/>
              </w:rPr>
              <w:t>Atelier Nordbogen, 3 Klingelnamen</w:t>
            </w:r>
          </w:p>
        </w:tc>
      </w:tr>
      <w:tr>
        <w:tc>
          <w:tcPr>
            <w:tcW w:type="dxa" w:w="4535"/>
          </w:tcPr>
          <w:p>
            <w:r>
              <w:rPr>
                <w:rFonts w:ascii="Calibri" w:hAnsi="Calibri"/>
                <w:b w:val="0"/>
                <w:i w:val="0"/>
                <w:sz w:val="20"/>
              </w:rPr>
              <w:t>Rundung auf 5.000 EUR</w:t>
            </w:r>
          </w:p>
        </w:tc>
        <w:tc>
          <w:tcPr>
            <w:tcW w:type="dxa" w:w="2268"/>
          </w:tcPr>
          <w:p>
            <w:r>
              <w:rPr>
                <w:rFonts w:ascii="Calibri" w:hAnsi="Calibri"/>
                <w:b w:val="0"/>
                <w:i w:val="0"/>
                <w:sz w:val="20"/>
              </w:rPr>
              <w:t>685.000 EUR</w:t>
            </w:r>
          </w:p>
        </w:tc>
        <w:tc>
          <w:tcPr>
            <w:tcW w:type="dxa" w:w="2835"/>
          </w:tcPr>
          <w:p>
            <w:r>
              <w:rPr>
                <w:rFonts w:ascii="Calibri" w:hAnsi="Calibri"/>
                <w:b w:val="0"/>
                <w:i w:val="0"/>
                <w:sz w:val="20"/>
              </w:rPr>
              <w:t>nach oben gerundet wegen Nachfragesituation</w:t>
            </w:r>
          </w:p>
        </w:tc>
      </w:tr>
    </w:tbl>
    <w:p/>
    <w:p>
      <w:pPr>
        <w:spacing w:before="80" w:after="80"/>
      </w:pPr>
      <w:r>
        <w:rPr>
          <w:rFonts w:ascii="Calibri" w:hAnsi="Calibri"/>
          <w:b w:val="0"/>
          <w:i w:val="0"/>
          <w:color w:val="969696"/>
          <w:sz w:val="16"/>
        </w:rPr>
        <w:t>──────────────────────────────────────────────────────────────────────</w:t>
      </w:r>
    </w:p>
    <w:p>
      <w:pPr>
        <w:spacing w:before="240" w:after="80"/>
        <w:jc w:val="left"/>
      </w:pPr>
      <w:r>
        <w:rPr>
          <w:rFonts w:ascii="Calibri" w:hAnsi="Calibri"/>
          <w:b/>
          <w:i w:val="0"/>
          <w:sz w:val="26"/>
        </w:rPr>
        <w:t>5. Plausibilisierung – Ertragswertverfahren</w:t>
      </w:r>
    </w:p>
    <w:p>
      <w:pPr>
        <w:spacing w:after="120"/>
      </w:pPr>
      <w:r>
        <w:rPr>
          <w:rFonts w:ascii="Calibri" w:hAnsi="Calibri"/>
          <w:b w:val="0"/>
          <w:i w:val="0"/>
          <w:sz w:val="22"/>
        </w:rPr>
        <w:t>Das Ertragswertverfahren nach §§ 17–20 ImmoWertV dient der Plausibilisierung des Vergleichswerts. Es berücksichtigt die nachhaltige Jahresrohmiete und die Bewirtschaftungskosten.</w:t>
      </w:r>
    </w:p>
    <w:tbl>
      <w:tblPr>
        <w:tblStyle w:val="TableGrid"/>
        <w:tblW w:type="auto" w:w="0"/>
        <w:tblLook w:firstColumn="1" w:firstRow="1" w:lastColumn="0" w:lastRow="0" w:noHBand="0" w:noVBand="1" w:val="04A0"/>
      </w:tblPr>
      <w:tblGrid>
        <w:gridCol w:w="3135"/>
        <w:gridCol w:w="3135"/>
        <w:gridCol w:w="3135"/>
      </w:tblGrid>
      <w:tr>
        <w:tc>
          <w:tcPr>
            <w:tcW w:type="dxa" w:w="4535"/>
            <w:shd w:val="clear" w:color="auto" w:fill="D9E1F2"/>
          </w:tcPr>
          <w:p>
            <w:pPr>
              <w:jc w:val="center"/>
            </w:pPr>
            <w:r>
              <w:rPr>
                <w:rFonts w:ascii="Calibri" w:hAnsi="Calibri"/>
                <w:b/>
                <w:i w:val="0"/>
                <w:sz w:val="20"/>
              </w:rPr>
              <w:t>Position</w:t>
            </w:r>
          </w:p>
        </w:tc>
        <w:tc>
          <w:tcPr>
            <w:tcW w:type="dxa" w:w="2835"/>
            <w:shd w:val="clear" w:color="auto" w:fill="D9E1F2"/>
          </w:tcPr>
          <w:p>
            <w:pPr>
              <w:jc w:val="center"/>
            </w:pPr>
            <w:r>
              <w:rPr>
                <w:rFonts w:ascii="Calibri" w:hAnsi="Calibri"/>
                <w:b/>
                <w:i w:val="0"/>
                <w:sz w:val="20"/>
              </w:rPr>
              <w:t>Berechnung</w:t>
            </w:r>
          </w:p>
        </w:tc>
        <w:tc>
          <w:tcPr>
            <w:tcW w:type="dxa" w:w="2268"/>
            <w:shd w:val="clear" w:color="auto" w:fill="D9E1F2"/>
          </w:tcPr>
          <w:p>
            <w:pPr>
              <w:jc w:val="center"/>
            </w:pPr>
            <w:r>
              <w:rPr>
                <w:rFonts w:ascii="Calibri" w:hAnsi="Calibri"/>
                <w:b/>
                <w:i w:val="0"/>
                <w:sz w:val="20"/>
              </w:rPr>
              <w:t>Betrag</w:t>
            </w:r>
          </w:p>
        </w:tc>
      </w:tr>
      <w:tr>
        <w:tc>
          <w:tcPr>
            <w:tcW w:type="dxa" w:w="4535"/>
          </w:tcPr>
          <w:p>
            <w:r>
              <w:rPr>
                <w:rFonts w:ascii="Calibri" w:hAnsi="Calibri"/>
                <w:b w:val="0"/>
                <w:i w:val="0"/>
                <w:sz w:val="20"/>
              </w:rPr>
              <w:t>Jahresrohmiete (NK) = 1.320 EUR × 12</w:t>
            </w:r>
          </w:p>
        </w:tc>
        <w:tc>
          <w:tcPr>
            <w:tcW w:type="dxa" w:w="2835"/>
          </w:tcPr>
          <w:p>
            <w:r>
              <w:rPr>
                <w:rFonts w:ascii="Calibri" w:hAnsi="Calibri"/>
                <w:b w:val="0"/>
                <w:i w:val="0"/>
                <w:sz w:val="20"/>
              </w:rPr>
            </w:r>
          </w:p>
        </w:tc>
        <w:tc>
          <w:tcPr>
            <w:tcW w:type="dxa" w:w="2268"/>
          </w:tcPr>
          <w:p>
            <w:r>
              <w:rPr>
                <w:rFonts w:ascii="Calibri" w:hAnsi="Calibri"/>
                <w:b w:val="0"/>
                <w:i w:val="0"/>
                <w:sz w:val="20"/>
              </w:rPr>
              <w:t>15.840,00 EUR</w:t>
            </w:r>
          </w:p>
        </w:tc>
      </w:tr>
      <w:tr>
        <w:tc>
          <w:tcPr>
            <w:tcW w:type="dxa" w:w="4535"/>
          </w:tcPr>
          <w:p>
            <w:r>
              <w:rPr>
                <w:rFonts w:ascii="Calibri" w:hAnsi="Calibri"/>
                <w:b w:val="0"/>
                <w:i w:val="0"/>
                <w:sz w:val="20"/>
              </w:rPr>
              <w:t>./. Bewirtschaftungskosten (25 % der JRM)</w:t>
            </w:r>
          </w:p>
        </w:tc>
        <w:tc>
          <w:tcPr>
            <w:tcW w:type="dxa" w:w="2835"/>
          </w:tcPr>
          <w:p>
            <w:r>
              <w:rPr>
                <w:rFonts w:ascii="Calibri" w:hAnsi="Calibri"/>
                <w:b w:val="0"/>
                <w:i w:val="0"/>
                <w:sz w:val="20"/>
              </w:rPr>
              <w:t>15.840 × 0,25</w:t>
            </w:r>
          </w:p>
        </w:tc>
        <w:tc>
          <w:tcPr>
            <w:tcW w:type="dxa" w:w="2268"/>
          </w:tcPr>
          <w:p>
            <w:r>
              <w:rPr>
                <w:rFonts w:ascii="Calibri" w:hAnsi="Calibri"/>
                <w:b w:val="0"/>
                <w:i w:val="0"/>
                <w:sz w:val="20"/>
              </w:rPr>
              <w:t>−3.960,00 EUR</w:t>
            </w:r>
          </w:p>
        </w:tc>
      </w:tr>
      <w:tr>
        <w:tc>
          <w:tcPr>
            <w:tcW w:type="dxa" w:w="4535"/>
          </w:tcPr>
          <w:p>
            <w:r>
              <w:rPr>
                <w:rFonts w:ascii="Calibri" w:hAnsi="Calibri"/>
                <w:b w:val="0"/>
                <w:i w:val="0"/>
                <w:sz w:val="20"/>
              </w:rPr>
              <w:t>Jahresreinertrag</w:t>
            </w:r>
          </w:p>
        </w:tc>
        <w:tc>
          <w:tcPr>
            <w:tcW w:type="dxa" w:w="2835"/>
          </w:tcPr>
          <w:p>
            <w:r>
              <w:rPr>
                <w:rFonts w:ascii="Calibri" w:hAnsi="Calibri"/>
                <w:b w:val="0"/>
                <w:i w:val="0"/>
                <w:sz w:val="20"/>
              </w:rPr>
            </w:r>
          </w:p>
        </w:tc>
        <w:tc>
          <w:tcPr>
            <w:tcW w:type="dxa" w:w="2268"/>
          </w:tcPr>
          <w:p>
            <w:r>
              <w:rPr>
                <w:rFonts w:ascii="Calibri" w:hAnsi="Calibri"/>
                <w:b w:val="0"/>
                <w:i w:val="0"/>
                <w:sz w:val="20"/>
              </w:rPr>
              <w:t>11.880,00 EUR</w:t>
            </w:r>
          </w:p>
        </w:tc>
      </w:tr>
      <w:tr>
        <w:tc>
          <w:tcPr>
            <w:tcW w:type="dxa" w:w="4535"/>
          </w:tcPr>
          <w:p>
            <w:r>
              <w:rPr>
                <w:rFonts w:ascii="Calibri" w:hAnsi="Calibri"/>
                <w:b w:val="0"/>
                <w:i w:val="0"/>
                <w:sz w:val="20"/>
              </w:rPr>
              <w:t>Liegenschaftszinssatz (WE Eppendorf, Annahme)</w:t>
            </w:r>
          </w:p>
        </w:tc>
        <w:tc>
          <w:tcPr>
            <w:tcW w:type="dxa" w:w="2835"/>
          </w:tcPr>
          <w:p>
            <w:r>
              <w:rPr>
                <w:rFonts w:ascii="Calibri" w:hAnsi="Calibri"/>
                <w:b w:val="0"/>
                <w:i w:val="0"/>
                <w:sz w:val="20"/>
              </w:rPr>
              <w:t>2,5 %</w:t>
            </w:r>
          </w:p>
        </w:tc>
        <w:tc>
          <w:tcPr>
            <w:tcW w:type="dxa" w:w="2268"/>
          </w:tcPr>
          <w:p>
            <w:r>
              <w:rPr>
                <w:rFonts w:ascii="Calibri" w:hAnsi="Calibri"/>
                <w:b w:val="0"/>
                <w:i w:val="0"/>
                <w:sz w:val="20"/>
              </w:rPr>
            </w:r>
          </w:p>
        </w:tc>
      </w:tr>
      <w:tr>
        <w:tc>
          <w:tcPr>
            <w:tcW w:type="dxa" w:w="4535"/>
          </w:tcPr>
          <w:p>
            <w:r>
              <w:rPr>
                <w:rFonts w:ascii="Calibri" w:hAnsi="Calibri"/>
                <w:b w:val="0"/>
                <w:i w:val="0"/>
                <w:sz w:val="20"/>
              </w:rPr>
              <w:t>Vervielfältiger (RND 60 J., LZS 2,5 %)</w:t>
            </w:r>
          </w:p>
        </w:tc>
        <w:tc>
          <w:tcPr>
            <w:tcW w:type="dxa" w:w="2835"/>
          </w:tcPr>
          <w:p>
            <w:r>
              <w:rPr>
                <w:rFonts w:ascii="Calibri" w:hAnsi="Calibri"/>
                <w:b w:val="0"/>
                <w:i w:val="0"/>
                <w:sz w:val="20"/>
              </w:rPr>
              <w:t>32,80</w:t>
            </w:r>
          </w:p>
        </w:tc>
        <w:tc>
          <w:tcPr>
            <w:tcW w:type="dxa" w:w="2268"/>
          </w:tcPr>
          <w:p>
            <w:r>
              <w:rPr>
                <w:rFonts w:ascii="Calibri" w:hAnsi="Calibri"/>
                <w:b w:val="0"/>
                <w:i w:val="0"/>
                <w:sz w:val="20"/>
              </w:rPr>
            </w:r>
          </w:p>
        </w:tc>
      </w:tr>
      <w:tr>
        <w:tc>
          <w:tcPr>
            <w:tcW w:type="dxa" w:w="4535"/>
          </w:tcPr>
          <w:p>
            <w:r>
              <w:rPr>
                <w:rFonts w:ascii="Calibri" w:hAnsi="Calibri"/>
                <w:b w:val="0"/>
                <w:i w:val="0"/>
                <w:sz w:val="20"/>
              </w:rPr>
              <w:t>Gebäudeertragswert</w:t>
            </w:r>
          </w:p>
        </w:tc>
        <w:tc>
          <w:tcPr>
            <w:tcW w:type="dxa" w:w="2835"/>
          </w:tcPr>
          <w:p>
            <w:r>
              <w:rPr>
                <w:rFonts w:ascii="Calibri" w:hAnsi="Calibri"/>
                <w:b w:val="0"/>
                <w:i w:val="0"/>
                <w:sz w:val="20"/>
              </w:rPr>
              <w:t>11.880 × 32,80</w:t>
            </w:r>
          </w:p>
        </w:tc>
        <w:tc>
          <w:tcPr>
            <w:tcW w:type="dxa" w:w="2268"/>
          </w:tcPr>
          <w:p>
            <w:r>
              <w:rPr>
                <w:rFonts w:ascii="Calibri" w:hAnsi="Calibri"/>
                <w:b w:val="0"/>
                <w:i w:val="0"/>
                <w:sz w:val="20"/>
              </w:rPr>
              <w:t>389.664,00 EUR</w:t>
            </w:r>
          </w:p>
        </w:tc>
      </w:tr>
      <w:tr>
        <w:tc>
          <w:tcPr>
            <w:tcW w:type="dxa" w:w="4535"/>
          </w:tcPr>
          <w:p>
            <w:r>
              <w:rPr>
                <w:rFonts w:ascii="Calibri" w:hAnsi="Calibri"/>
                <w:b w:val="0"/>
                <w:i w:val="0"/>
                <w:sz w:val="20"/>
              </w:rPr>
              <w:t>Bodenwertanteil (MEA 39,20/1.000 × Bodenrichtwert)</w:t>
            </w:r>
          </w:p>
        </w:tc>
        <w:tc>
          <w:tcPr>
            <w:tcW w:type="dxa" w:w="2835"/>
          </w:tcPr>
          <w:p>
            <w:r>
              <w:rPr>
                <w:rFonts w:ascii="Calibri" w:hAnsi="Calibri"/>
                <w:b w:val="0"/>
                <w:i w:val="0"/>
                <w:sz w:val="20"/>
              </w:rPr>
              <w:t>Bodenrichtwert ca. 3.200 EUR/qm × 612 qm × 39,20/1.000</w:t>
            </w:r>
          </w:p>
        </w:tc>
        <w:tc>
          <w:tcPr>
            <w:tcW w:type="dxa" w:w="2268"/>
          </w:tcPr>
          <w:p>
            <w:r>
              <w:rPr>
                <w:rFonts w:ascii="Calibri" w:hAnsi="Calibri"/>
                <w:b w:val="0"/>
                <w:i w:val="0"/>
                <w:sz w:val="20"/>
              </w:rPr>
              <w:t>75.018,24 EUR</w:t>
            </w:r>
          </w:p>
        </w:tc>
      </w:tr>
      <w:tr>
        <w:tc>
          <w:tcPr>
            <w:tcW w:type="dxa" w:w="4535"/>
          </w:tcPr>
          <w:p>
            <w:r>
              <w:rPr>
                <w:rFonts w:ascii="Calibri" w:hAnsi="Calibri"/>
                <w:b w:val="0"/>
                <w:i w:val="0"/>
                <w:sz w:val="20"/>
              </w:rPr>
              <w:t>Vorläufiger Ertragswert</w:t>
            </w:r>
          </w:p>
        </w:tc>
        <w:tc>
          <w:tcPr>
            <w:tcW w:type="dxa" w:w="2835"/>
          </w:tcPr>
          <w:p>
            <w:r>
              <w:rPr>
                <w:rFonts w:ascii="Calibri" w:hAnsi="Calibri"/>
                <w:b w:val="0"/>
                <w:i w:val="0"/>
                <w:sz w:val="20"/>
              </w:rPr>
            </w:r>
          </w:p>
        </w:tc>
        <w:tc>
          <w:tcPr>
            <w:tcW w:type="dxa" w:w="2268"/>
          </w:tcPr>
          <w:p>
            <w:r>
              <w:rPr>
                <w:rFonts w:ascii="Calibri" w:hAnsi="Calibri"/>
                <w:b w:val="0"/>
                <w:i w:val="0"/>
                <w:sz w:val="20"/>
              </w:rPr>
              <w:t>464.682,00 EUR</w:t>
            </w:r>
          </w:p>
        </w:tc>
      </w:tr>
      <w:tr>
        <w:tc>
          <w:tcPr>
            <w:tcW w:type="dxa" w:w="4535"/>
          </w:tcPr>
          <w:p>
            <w:r>
              <w:rPr>
                <w:rFonts w:ascii="Calibri" w:hAnsi="Calibri"/>
                <w:b w:val="0"/>
                <w:i w:val="0"/>
                <w:sz w:val="20"/>
              </w:rPr>
              <w:t>Anmerkung</w:t>
            </w:r>
          </w:p>
        </w:tc>
        <w:tc>
          <w:tcPr>
            <w:tcW w:type="dxa" w:w="2835"/>
          </w:tcPr>
          <w:p>
            <w:r>
              <w:rPr>
                <w:rFonts w:ascii="Calibri" w:hAnsi="Calibri"/>
                <w:b w:val="0"/>
                <w:i w:val="0"/>
                <w:sz w:val="20"/>
              </w:rPr>
              <w:t>Ertragswert liegt unter Vergleichswert – typisch für vermietete Wohnungen mit Marktmiete unterhalb Ertragspotenzial in Toplagen</w:t>
            </w:r>
          </w:p>
        </w:tc>
        <w:tc>
          <w:tcPr>
            <w:tcW w:type="dxa" w:w="2268"/>
          </w:tcPr>
          <w:p>
            <w:r>
              <w:rPr>
                <w:rFonts w:ascii="Calibri" w:hAnsi="Calibri"/>
                <w:b w:val="0"/>
                <w:i w:val="0"/>
                <w:sz w:val="20"/>
              </w:rPr>
            </w:r>
          </w:p>
        </w:tc>
      </w:tr>
    </w:tbl>
    <w:p/>
    <w:p>
      <w:pPr>
        <w:spacing w:after="120"/>
      </w:pPr>
      <w:r>
        <w:rPr>
          <w:rFonts w:ascii="Calibri" w:hAnsi="Calibri"/>
          <w:b w:val="0"/>
          <w:i w:val="0"/>
          <w:sz w:val="22"/>
        </w:rPr>
        <w:t>Der Ertragswert von rd. 465.000,00 EUR bestätigt, dass die aktuelle Miete von 1.320,00 EUR nettokalt unter dem Marktmietpotenzial für diese Lage liegt (angemessene Marktmiete Eppendorf 2026 für 95 qm schätzungsweise 1.600–1.800 EUR nettokalt). Dies erklärt die Differenz zum Vergleichswert: Ein neuer Eigentümer könnte nach Mieterwechsel eine deutlich höhere Miete erzielen.</w:t>
      </w:r>
    </w:p>
    <w:p>
      <w:pPr>
        <w:spacing w:before="80" w:after="80"/>
      </w:pPr>
      <w:r>
        <w:rPr>
          <w:rFonts w:ascii="Calibri" w:hAnsi="Calibri"/>
          <w:b w:val="0"/>
          <w:i w:val="0"/>
          <w:color w:val="969696"/>
          <w:sz w:val="16"/>
        </w:rPr>
        <w:t>──────────────────────────────────────────────────────────────────────</w:t>
      </w:r>
    </w:p>
    <w:p>
      <w:pPr>
        <w:spacing w:before="240" w:after="80"/>
        <w:jc w:val="left"/>
      </w:pPr>
      <w:r>
        <w:rPr>
          <w:rFonts w:ascii="Calibri" w:hAnsi="Calibri"/>
          <w:b/>
          <w:i w:val="0"/>
          <w:sz w:val="26"/>
        </w:rPr>
        <w:t>6. Ergebnis</w:t>
      </w:r>
    </w:p>
    <w:tbl>
      <w:tblPr>
        <w:tblStyle w:val="TableGrid"/>
        <w:tblW w:type="auto" w:w="0"/>
        <w:tblLook w:firstColumn="1" w:firstRow="1" w:lastColumn="0" w:lastRow="0" w:noHBand="0" w:noVBand="1" w:val="04A0"/>
      </w:tblPr>
      <w:tblGrid>
        <w:gridCol w:w="4703"/>
        <w:gridCol w:w="4703"/>
      </w:tblGrid>
      <w:tr>
        <w:tc>
          <w:tcPr>
            <w:tcW w:type="dxa" w:w="5669"/>
            <w:shd w:val="clear" w:color="auto" w:fill="D9E1F2"/>
          </w:tcPr>
          <w:p>
            <w:pPr>
              <w:jc w:val="center"/>
            </w:pPr>
            <w:r>
              <w:rPr>
                <w:rFonts w:ascii="Calibri" w:hAnsi="Calibri"/>
                <w:b/>
                <w:i w:val="0"/>
                <w:sz w:val="20"/>
              </w:rPr>
              <w:t>Verfahren</w:t>
            </w:r>
          </w:p>
        </w:tc>
        <w:tc>
          <w:tcPr>
            <w:tcW w:type="dxa" w:w="3969"/>
            <w:shd w:val="clear" w:color="auto" w:fill="D9E1F2"/>
          </w:tcPr>
          <w:p>
            <w:pPr>
              <w:jc w:val="center"/>
            </w:pPr>
            <w:r>
              <w:rPr>
                <w:rFonts w:ascii="Calibri" w:hAnsi="Calibri"/>
                <w:b/>
                <w:i w:val="0"/>
                <w:sz w:val="20"/>
              </w:rPr>
              <w:t>Wert</w:t>
            </w:r>
          </w:p>
        </w:tc>
      </w:tr>
      <w:tr>
        <w:tc>
          <w:tcPr>
            <w:tcW w:type="dxa" w:w="5669"/>
          </w:tcPr>
          <w:p>
            <w:r>
              <w:rPr>
                <w:rFonts w:ascii="Calibri" w:hAnsi="Calibri"/>
                <w:b w:val="0"/>
                <w:i w:val="0"/>
                <w:sz w:val="20"/>
              </w:rPr>
              <w:t>Vergleichswertverfahren (Hauptmethode)</w:t>
            </w:r>
          </w:p>
        </w:tc>
        <w:tc>
          <w:tcPr>
            <w:tcW w:type="dxa" w:w="3969"/>
          </w:tcPr>
          <w:p>
            <w:r>
              <w:rPr>
                <w:rFonts w:ascii="Calibri" w:hAnsi="Calibri"/>
                <w:b w:val="0"/>
                <w:i w:val="0"/>
                <w:sz w:val="20"/>
              </w:rPr>
              <w:t>685.000,00 EUR</w:t>
            </w:r>
          </w:p>
        </w:tc>
      </w:tr>
      <w:tr>
        <w:tc>
          <w:tcPr>
            <w:tcW w:type="dxa" w:w="5669"/>
          </w:tcPr>
          <w:p>
            <w:r>
              <w:rPr>
                <w:rFonts w:ascii="Calibri" w:hAnsi="Calibri"/>
                <w:b w:val="0"/>
                <w:i w:val="0"/>
                <w:sz w:val="20"/>
              </w:rPr>
              <w:t>Ertragswertverfahren (Plausibilisierung)</w:t>
            </w:r>
          </w:p>
        </w:tc>
        <w:tc>
          <w:tcPr>
            <w:tcW w:type="dxa" w:w="3969"/>
          </w:tcPr>
          <w:p>
            <w:r>
              <w:rPr>
                <w:rFonts w:ascii="Calibri" w:hAnsi="Calibri"/>
                <w:b w:val="0"/>
                <w:i w:val="0"/>
                <w:sz w:val="20"/>
              </w:rPr>
              <w:t>464.682,00 EUR</w:t>
            </w:r>
          </w:p>
        </w:tc>
      </w:tr>
      <w:tr>
        <w:tc>
          <w:tcPr>
            <w:tcW w:type="dxa" w:w="5669"/>
          </w:tcPr>
          <w:p>
            <w:r>
              <w:rPr>
                <w:rFonts w:ascii="Calibri" w:hAnsi="Calibri"/>
                <w:b w:val="0"/>
                <w:i w:val="0"/>
                <w:sz w:val="20"/>
              </w:rPr>
              <w:t>**Verkehrswert (§ 194 BauGB)**</w:t>
            </w:r>
          </w:p>
        </w:tc>
        <w:tc>
          <w:tcPr>
            <w:tcW w:type="dxa" w:w="3969"/>
          </w:tcPr>
          <w:p>
            <w:r>
              <w:rPr>
                <w:rFonts w:ascii="Calibri" w:hAnsi="Calibri"/>
                <w:b w:val="0"/>
                <w:i w:val="0"/>
                <w:sz w:val="20"/>
              </w:rPr>
              <w:t>**685.000,00 EUR**</w:t>
            </w:r>
          </w:p>
        </w:tc>
      </w:tr>
    </w:tbl>
    <w:p/>
    <w:p>
      <w:pPr>
        <w:spacing w:after="120"/>
      </w:pPr>
      <w:r>
        <w:rPr>
          <w:rFonts w:ascii="Calibri" w:hAnsi="Calibri"/>
          <w:b w:val="0"/>
          <w:i w:val="0"/>
          <w:sz w:val="22"/>
        </w:rPr>
        <w:t>Der Verkehrswert der Eigentumswohnung Nr. 9, Eppendorfer Mühlenbogen 16 / Heilwigbogen 4, 20249 Hamburg, wird zum Wertermittlungsstichtag 28.04.2026 auf</w:t>
      </w:r>
    </w:p>
    <w:p>
      <w:pPr>
        <w:jc w:val="center"/>
      </w:pPr>
      <w:r>
        <w:rPr>
          <w:rFonts w:ascii="Calibri" w:hAnsi="Calibri"/>
          <w:b/>
          <w:i w:val="0"/>
          <w:sz w:val="28"/>
        </w:rPr>
        <w:t>685.000,00 EUR</w:t>
      </w:r>
    </w:p>
    <w:p>
      <w:pPr>
        <w:spacing w:after="120"/>
      </w:pPr>
      <w:r>
        <w:rPr>
          <w:rFonts w:ascii="Calibri" w:hAnsi="Calibri"/>
          <w:b w:val="0"/>
          <w:i w:val="0"/>
          <w:sz w:val="22"/>
        </w:rPr>
        <w:t>(in Worten: sechshundertfünfundachtzigtausend Euro)</w:t>
      </w:r>
    </w:p>
    <w:p>
      <w:pPr>
        <w:spacing w:after="120"/>
      </w:pPr>
      <w:r>
        <w:rPr>
          <w:rFonts w:ascii="Calibri" w:hAnsi="Calibri"/>
          <w:b w:val="0"/>
          <w:i w:val="0"/>
          <w:sz w:val="22"/>
        </w:rPr>
        <w:t>festgestellt.</w:t>
      </w:r>
    </w:p>
    <w:p>
      <w:pPr>
        <w:spacing w:before="80" w:after="80"/>
      </w:pPr>
      <w:r>
        <w:rPr>
          <w:rFonts w:ascii="Calibri" w:hAnsi="Calibri"/>
          <w:b w:val="0"/>
          <w:i w:val="0"/>
          <w:color w:val="969696"/>
          <w:sz w:val="16"/>
        </w:rPr>
        <w:t>──────────────────────────────────────────────────────────────────────</w:t>
      </w:r>
    </w:p>
    <w:p>
      <w:pPr>
        <w:spacing w:before="240" w:after="80"/>
        <w:jc w:val="left"/>
      </w:pPr>
      <w:r>
        <w:rPr>
          <w:rFonts w:ascii="Calibri" w:hAnsi="Calibri"/>
          <w:b/>
          <w:i w:val="0"/>
          <w:sz w:val="26"/>
        </w:rPr>
        <w:t>7. Gutachterliche Risikohinweise</w:t>
      </w:r>
    </w:p>
    <w:p>
      <w:pPr>
        <w:spacing w:after="120"/>
      </w:pPr>
      <w:r>
        <w:rPr>
          <w:rFonts w:ascii="Calibri" w:hAnsi="Calibri"/>
          <w:b w:val="0"/>
          <w:i w:val="0"/>
          <w:sz w:val="22"/>
        </w:rPr>
        <w:t>1. Der Innenzustand der Wohnung ist nicht verifiziert. Die vorstehenden Feststellungen und Annahmen können durch den tatsächlichen Innenzustand wesentlich abweichen; insbesondere Installationen, Bodenbeläge, Sanitär und etwaige verdeckte Mängel sind unbekannt.</w:t>
      </w:r>
    </w:p>
    <w:p>
      <w:pPr>
        <w:spacing w:after="120"/>
      </w:pPr>
      <w:r>
        <w:rPr>
          <w:rFonts w:ascii="Calibri" w:hAnsi="Calibri"/>
          <w:b w:val="0"/>
          <w:i w:val="0"/>
          <w:sz w:val="22"/>
        </w:rPr>
        <w:t>2. Der Miet- und Nutzungsstatus ("Atelier Nordbogen") ist ungeklärt. Bei tatsächlicher gewerblicher Nutzung ohne Erlaubnis ergeben sich mietrechtliche und baurechtliche Risiken.</w:t>
      </w:r>
    </w:p>
    <w:p>
      <w:pPr>
        <w:spacing w:after="120"/>
      </w:pPr>
      <w:r>
        <w:rPr>
          <w:rFonts w:ascii="Calibri" w:hAnsi="Calibri"/>
          <w:b w:val="0"/>
          <w:i w:val="0"/>
          <w:sz w:val="22"/>
        </w:rPr>
        <w:t>3. Eine Sonderumlage der WEG für Steigleitungen und Dachentwässerung ist nicht beschlossen, aber im Raum. Je nach Höhe kann dies den wirtschaftlichen Erwerb erheblich belasten.</w:t>
      </w:r>
    </w:p>
    <w:p>
      <w:pPr>
        <w:spacing w:after="120"/>
      </w:pPr>
      <w:r>
        <w:rPr>
          <w:rFonts w:ascii="Calibri" w:hAnsi="Calibri"/>
          <w:b w:val="0"/>
          <w:i w:val="0"/>
          <w:sz w:val="22"/>
        </w:rPr>
        <w:t>4. Der Sanierungsvermerk nach Erhaltungsgebiet Eppendorf-Ost ist öffentlich-rechtlicher Natur und kann Modernisierungsvorhaben oder Mieterhöhungen einschränken.</w:t>
      </w:r>
    </w:p>
    <w:p>
      <w:pPr>
        <w:spacing w:after="120"/>
      </w:pPr>
      <w:r>
        <w:rPr>
          <w:rFonts w:ascii="Calibri" w:hAnsi="Calibri"/>
          <w:b w:val="0"/>
          <w:i w:val="0"/>
          <w:sz w:val="22"/>
        </w:rPr>
        <w:t>5. Das Gutachten beruht auf den zum Wertermittlungsstichtag vorhandenen Unterlagen. Spätere Veränderungen sind nicht berücksichtigt.</w:t>
      </w:r>
    </w:p>
    <w:p/>
    <w:p>
      <w:pPr>
        <w:spacing w:after="120"/>
      </w:pPr>
      <w:r>
        <w:rPr>
          <w:rFonts w:ascii="Calibri" w:hAnsi="Calibri"/>
          <w:b w:val="0"/>
          <w:i w:val="0"/>
          <w:sz w:val="22"/>
        </w:rPr>
        <w:t>Hamburg, 05.05.2026</w:t>
      </w:r>
    </w:p>
    <w:p/>
    <w:p>
      <w:pPr>
        <w:spacing w:after="120"/>
      </w:pPr>
      <w:r>
        <w:rPr>
          <w:rFonts w:ascii="Calibri" w:hAnsi="Calibri"/>
          <w:b w:val="0"/>
          <w:i w:val="0"/>
          <w:sz w:val="22"/>
        </w:rPr>
        <w:t>Dipl.-Ing. Thorsten Malkwitz (fiktiv)</w:t>
      </w:r>
    </w:p>
    <w:p>
      <w:pPr>
        <w:spacing w:after="120"/>
      </w:pPr>
      <w:r>
        <w:rPr>
          <w:rFonts w:ascii="Calibri" w:hAnsi="Calibri"/>
          <w:b w:val="0"/>
          <w:i w:val="0"/>
          <w:sz w:val="22"/>
        </w:rPr>
        <w:t>Öffentlich bestellter und vereidigter Sachverständiger</w:t>
      </w:r>
    </w:p>
    <w:p>
      <w:pPr>
        <w:spacing w:after="120"/>
      </w:pPr>
      <w:r>
        <w:rPr>
          <w:rFonts w:ascii="Calibri" w:hAnsi="Calibri"/>
          <w:b w:val="0"/>
          <w:i w:val="0"/>
          <w:sz w:val="22"/>
        </w:rPr>
        <w:t>für Bewertung von bebauten und unbebauten Grundstücken</w:t>
      </w:r>
    </w:p>
    <w:p>
      <w:pPr>
        <w:spacing w:before="80" w:after="80"/>
      </w:pPr>
      <w:r>
        <w:rPr>
          <w:rFonts w:ascii="Calibri" w:hAnsi="Calibri"/>
          <w:b w:val="0"/>
          <w:i w:val="0"/>
          <w:color w:val="969696"/>
          <w:sz w:val="16"/>
        </w:rPr>
        <w:t>──────────────────────────────────────────────────────────────────────</w:t>
      </w:r>
    </w:p>
    <w:p>
      <w:pPr>
        <w:spacing w:after="120"/>
      </w:pPr>
      <w:r>
        <w:rPr>
          <w:rFonts w:ascii="Calibri" w:hAnsi="Calibri"/>
          <w:b w:val="0"/>
          <w:i w:val="0"/>
          <w:sz w:val="18"/>
        </w:rPr>
        <w:t>Fiktives Dokument für Übungszwecke. Alle Personen, Daten und Werte sind erfunden.</w:t>
      </w:r>
    </w:p>
    <w:sectPr w:rsidR="00FC693F" w:rsidRPr="0006063C" w:rsidSect="00034616">
      <w:headerReference w:type="default" r:id="rId9"/>
      <w:pgSz w:w="12240" w:h="15840"/>
      <w:pgMar w:top="1417"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rFonts w:ascii="Calibri" w:hAnsi="Calibri"/>
        <w:b w:val="0"/>
        <w:i w:val="0"/>
        <w:sz w:val="18"/>
      </w:rPr>
      <w:t>71 K 18/26</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