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i w:val="0"/>
          <w:sz w:val="28"/>
        </w:rPr>
        <w:t>PROTOKOLL DES VERSTEIGERUNGSTERMINS</w:t>
      </w:r>
    </w:p>
    <w:p>
      <w:pPr>
        <w:jc w:val="center"/>
      </w:pPr>
      <w:r>
        <w:rPr>
          <w:rFonts w:ascii="Calibri" w:hAnsi="Calibri"/>
          <w:b w:val="0"/>
          <w:i w:val="0"/>
          <w:sz w:val="22"/>
        </w:rPr>
        <w:t>Amtsgericht Hamburg, Abteilung 71 – Az.: 71 K 18/26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Feld</w:t>
            </w:r>
          </w:p>
        </w:tc>
        <w:tc>
          <w:tcPr>
            <w:tcW w:type="dxa" w:w="6236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Inhalt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Datum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16.07.2026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Uhrzeit Beginn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10:00 Uhr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Uhrzeit Ende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12:47 Uhr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Ort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Amtsgericht Hamburg, Sievekingplatz 1, Saal 214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Rechtspflegerin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Sabine Tönnies (fiktiv), Rechtspflegerin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Urkundsbeamtin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Petra Lüthje (fiktiv), Urkundsbeamtin der Geschäftsstelle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Aktenzeichen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71 K 18/26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Verfahrensart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Zwangsversteigerung im Wege der Zwangsvollstreckung (§ 15 ZVG)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Objekt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WE Nr. 9, Eppendorfer Mühlenbogen 16 / Heilwigbogen 4, 20249 Hamburg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Grundbuch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Eppendorf Blatt 48291, 39,20/1.000 MEA</w:t>
            </w:r>
          </w:p>
        </w:tc>
      </w:tr>
    </w:tbl>
    <w:p/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I. Anwesende und Legitimation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Erschienen sind folgende Personen (Legitimation geprüft):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567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Nr.</w:t>
            </w:r>
          </w:p>
        </w:tc>
        <w:tc>
          <w:tcPr>
            <w:tcW w:type="dxa" w:w="3118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Name / Bezeichnung</w:t>
            </w:r>
          </w:p>
        </w:tc>
        <w:tc>
          <w:tcPr>
            <w:tcW w:type="dxa" w:w="2268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Eigenschaft</w:t>
            </w:r>
          </w:p>
        </w:tc>
        <w:tc>
          <w:tcPr>
            <w:tcW w:type="dxa" w:w="1984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Legitimation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Nordelbe Kreditbank AG (fiktiv), vertr. d. RA Gregor Sülfeld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Betreibende Gläubigerin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Vollmacht + HR-Auszug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Heinrich J. Albrecht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Schuldner / Miterbe 1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Personalausweis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3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Sofie Albrecht-Wegener (fiktiv), vertr. d. RAin Dr. Claudia Mester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Schuldnerin / Miterbin 2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Vollmacht + PA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(fiktiv), vertr. d. Geschäftsführer Paul Körner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Bieterin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Vollmacht + HR-Auszug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Elke Sonnenberg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Bieterin (privat)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Personalausweis</w:t>
            </w:r>
          </w:p>
        </w:tc>
      </w:tr>
      <w:tr>
        <w:tc>
          <w:tcPr>
            <w:tcW w:type="dxa" w:w="56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6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(fiktiv), vertr. d. RA Dr. Kai Brehmer (fiktiv)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Bieter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Vollmacht + HR-Auszug + PoA</w:t>
            </w:r>
          </w:p>
        </w:tc>
      </w:tr>
    </w:tbl>
    <w:p/>
    <w:p>
      <w:pPr>
        <w:spacing w:after="120"/>
      </w:pPr>
      <w:r>
        <w:rPr>
          <w:rFonts w:ascii="Calibri" w:hAnsi="Calibri"/>
          <w:b w:val="0"/>
          <w:i w:val="0"/>
          <w:sz w:val="22"/>
        </w:rPr>
        <w:t>Der Mieter L. Sommer (fiktiv) ist nicht erschienen.</w:t>
      </w:r>
    </w:p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II. Eröffnung und Verfahrensstand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Rechtspflegerin eröffnet den Termin um 10:00 Uhr. Sie stellt fest, dass das Verfahren ordnungsgemäß eingeleitet wurde, die Terminsbekanntmachung nach § 39 ZVG erfolgte und das Verfahren nicht aufgehoben oder einstweilen eingestellt wurde. Ein Antrag auf einstweilige Einstellung nach § 30a ZVG liegt nicht vor.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Das Objekt wird bekannt gegeben. Die Rechtspflegerin verliest Auszüge aus dem Grundbuchinhalt und stellt die Abteilung-II- und Abteilung-III-Einträge vor.</w:t>
      </w:r>
    </w:p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III. Versteigerungsbedingungen (§ 44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Rechtspflegerin verliest die Versteigerungsbedingungen. Es gelten die gesetzlichen Bedingungen nach §§ 44 ff. ZVG, modifiziert durch folgende Feststellungen: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2"/>
        </w:rPr>
        <w:t>1. Bestehenbleibende Rechte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Nach Prüfung der Rangverhältnisse und der Anträge bestehen keine bestehenbleibenden Rechte im Sinne des § 52 ZVG, die dem Ersteher gegenüber wirksam bleiben und das Bargebot nicht schmälern. Die Grundschuld der Nordelbe Kreditbank AG (Abt. III Nr. 1, 520.000,00 EUR) erledigt sich durch den Zuschlag; sie wird aus der Teilungsmasse befriedigt. Die Zwangssicherungshypothek der WEG (Abt. III Nr. 2, 38.400,00 EUR) erlischt ebenfalls. Der Sanierungsvermerk (Abt. II Nr. 4) ist öffentlich-rechtlicher Natur und besteht als gesetzliche Bindung fort, begründet aber keinen Anspruch im Sinne des ZVG.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Der Vertreter der Nordelbe Kreditbank AG nimmt diese Feststellung ohne Widerspruch zur Kenntnis. RAin Dr. Mester erklärt namens der Schuldnerin, sie nehme dies zur Kenntnis.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2"/>
        </w:rPr>
        <w:t>2. Sicherheitsleistung (§ 67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Sicherheitsleistung beträgt 10 % des Verkehrswerts = 68.500,00 EUR. Zulässig sind: Bankbürgschaft nach § 239 BGB oder Verrechnungsscheck einer deutschen Großbank, der nicht älter als drei Werktage ist.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Nachweis der Sicherheitsleistung durch die Bieter: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8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Bieter</w:t>
            </w:r>
          </w:p>
        </w:tc>
        <w:tc>
          <w:tcPr>
            <w:tcW w:type="dxa" w:w="28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Form</w:t>
            </w:r>
          </w:p>
        </w:tc>
        <w:tc>
          <w:tcPr>
            <w:tcW w:type="dxa" w:w="1984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Betrag</w:t>
            </w:r>
          </w:p>
        </w:tc>
        <w:tc>
          <w:tcPr>
            <w:tcW w:type="dxa" w:w="1417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Akzeptiert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Bankbürgschaft Sparkasse Hamburg (fiktiv)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68.500,00 EUR</w:t>
            </w:r>
          </w:p>
        </w:tc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Ja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Elke Sonnenberg (fiktiv)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Verrechnungsscheck Hamburger Volksbank (fiktiv)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68.500,00 EUR</w:t>
            </w:r>
          </w:p>
        </w:tc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Ja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Bankbürgschaft Commerzbank AG (fiktiv)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68.500,00 EUR</w:t>
            </w:r>
          </w:p>
        </w:tc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Ja</w:t>
            </w:r>
          </w:p>
        </w:tc>
      </w:tr>
    </w:tbl>
    <w:p/>
    <w:p>
      <w:pPr>
        <w:spacing w:before="240" w:after="80"/>
        <w:jc w:val="left"/>
      </w:pPr>
      <w:r>
        <w:rPr>
          <w:rFonts w:ascii="Calibri" w:hAnsi="Calibri"/>
          <w:b/>
          <w:i w:val="0"/>
          <w:sz w:val="22"/>
        </w:rPr>
        <w:t>3. Geringstes Gebot (§ 49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Rechtspflegerin stellt das geringste Gebot fest. Da keine bestehenbleibenden Rechte vorhanden sind, besteht das geringste Gebot ausschließlich aus dem Deckungsgebot (Verfahrenskosten und laufende Zinsen).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5669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Position</w:t>
            </w:r>
          </w:p>
        </w:tc>
        <w:tc>
          <w:tcPr>
            <w:tcW w:type="dxa" w:w="3402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Betrag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Verfahrensgebühren (GKG)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7.242,00 EUR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Gerichtliche Auslagen (Gutachten, Bekanntmachungen etc.)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2.200,00 EUR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Sonstige Kosten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5.800,00 EUR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**Geringstes Gebot**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**15.242,00 EUR**</w:t>
            </w:r>
          </w:p>
        </w:tc>
      </w:tr>
    </w:tbl>
    <w:p/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IV. Biettermin und Gebote (§ 73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Der Biettermin wird eröffnet. Die Rechtspflegerin weist auf die Bietungsregeln, die Schutzgrenzen nach §§ 74a, 85a ZVG sowie die Bedeutung des Zuschlags nach §§ 81 ff. ZVG hin. Die 7/10-Grenze (479.500,00 EUR) und 5/10-Grenze (342.500,00 EUR) werden verlesen.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Der Biettermin beginnt um 10:38 Uhr. Es werden folgende Gebote abgegeben (Zeitstempel gerundet):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417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Zeit</w:t>
            </w:r>
          </w:p>
        </w:tc>
        <w:tc>
          <w:tcPr>
            <w:tcW w:type="dxa" w:w="3402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Bieter</w:t>
            </w:r>
          </w:p>
        </w:tc>
        <w:tc>
          <w:tcPr>
            <w:tcW w:type="dxa" w:w="2551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Bargebot</w:t>
            </w:r>
          </w:p>
        </w:tc>
        <w:tc>
          <w:tcPr>
            <w:tcW w:type="dxa" w:w="2268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Kumuliert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10:40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420.000,00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420.000,00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10:43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450.000,00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450.000,00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10:46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Elke Sonnenberg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465.000,00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465.000,00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10:49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480.000,00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480.000,00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10:52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495.000,00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495.000,00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10:55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505.000,00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505.000,00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10:59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515.000,00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515.000,00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11:03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520.000,00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520.000,00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11:07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522.000,00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522.000,00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11:10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524.000,00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524.000,00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11:14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Elke Sonnenberg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526.000,00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526.000,00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11:16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528.000,00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528.000,00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11:19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530.000,00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530.000,00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11:23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BH Capital GmbH &amp; Co. KG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532.000,00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532.000,00 EUR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11:25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534.000,00 EUR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534.000,00 EUR</w:t>
            </w:r>
          </w:p>
        </w:tc>
      </w:tr>
    </w:tbl>
    <w:p/>
    <w:p>
      <w:pPr>
        <w:spacing w:after="120"/>
      </w:pPr>
      <w:r>
        <w:rPr>
          <w:rFonts w:ascii="Calibri" w:hAnsi="Calibri"/>
          <w:b w:val="0"/>
          <w:i w:val="0"/>
          <w:sz w:val="22"/>
        </w:rPr>
        <w:t>Nach 534.000,00 EUR (Nordhafen Immobilien UG, 11:25 Uhr) werden keine weiteren Gebote abgegeben. Die Rechtspflegerin wartet die gesetzliche Dreimal-Frist ab. Sie verliest das Höchstgebot dreimal und fragt nach weiteren Geboten. Keine weiteren Gebote erfolgen.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Der Biettermin endet um 11:47 Uhr.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2"/>
        </w:rPr>
        <w:t>Höchstgebot: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5669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Bieter</w:t>
            </w:r>
          </w:p>
        </w:tc>
        <w:tc>
          <w:tcPr>
            <w:tcW w:type="dxa" w:w="3969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Bargebot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(fiktiv), vertr. d. GF Paul Körner</w:t>
            </w:r>
          </w:p>
        </w:tc>
        <w:tc>
          <w:tcPr>
            <w:tcW w:type="dxa" w:w="3969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534.000,00 EUR</w:t>
            </w:r>
          </w:p>
        </w:tc>
      </w:tr>
    </w:tbl>
    <w:p/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V. Schutzgrenzen und Anträge (§§ 74a, 85a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Rechtspflegerin weist darauf hin, dass das Höchstgebot von 534.000,00 EUR die 7/10-Grenze (479.500,00 EUR) übersteigt. Eine Versagung nach § 74a ZVG ist damit nicht möglich.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Die Schuldnerseite (RAin Dr. Mester) stellt keinen Antrag nach § 74a ZVG. Die betreibende Gläubigerin stimmt dem Zuschlag ausdrücklich zu. Weitere Anträge werden nicht gestellt.</w:t>
      </w:r>
    </w:p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VI. Zuschlagsentscheidung (§§ 81, 83 ZVG)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Nachdem keine Versagungsgründe vorliegen und die Rechtspflegerin keine Hindernisse festgestellt hat, erteilt sie den Zuschlag.</w:t>
      </w:r>
    </w:p>
    <w:p>
      <w:pPr>
        <w:jc w:val="center"/>
      </w:pPr>
      <w:r>
        <w:rPr>
          <w:rFonts w:ascii="Calibri" w:hAnsi="Calibri"/>
          <w:b/>
          <w:i w:val="0"/>
          <w:sz w:val="26"/>
        </w:rPr>
        <w:t>Der Zuschlag wird erteilt.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Feld</w:t>
            </w:r>
          </w:p>
        </w:tc>
        <w:tc>
          <w:tcPr>
            <w:tcW w:type="dxa" w:w="6236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Inhalt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Zuschlag an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Nordhafen Immobilien UG (fiktiv)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Bargebot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534.000,00 EUR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Zuschlagszeit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12:02 Uhr, 16.07.2026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Rechtspflegerin</w:t>
            </w:r>
          </w:p>
        </w:tc>
        <w:tc>
          <w:tcPr>
            <w:tcW w:type="dxa" w:w="6236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Sabine Tönnies (fiktiv)</w:t>
            </w:r>
          </w:p>
        </w:tc>
      </w:tr>
    </w:tbl>
    <w:p/>
    <w:p>
      <w:pPr>
        <w:spacing w:after="120"/>
      </w:pPr>
      <w:r>
        <w:rPr>
          <w:rFonts w:ascii="Calibri" w:hAnsi="Calibri"/>
          <w:b w:val="0"/>
          <w:i w:val="0"/>
          <w:sz w:val="22"/>
        </w:rPr>
        <w:t>Der Ersteher nimmt den Zuschlag an. Die Rechtspflegerin belehrt über die Folgen des Zuschlags (§ 91 ZVG: Übergang von Besitz, Gefahr und Nutzen auf den Ersteher; Erlöschen der Grundpfandrechte; Entstehung der Zahlungspflicht). Der gesonderte Zuschlagsbeschluss wird zugestellt.</w:t>
      </w:r>
    </w:p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jc w:val="left"/>
      </w:pPr>
      <w:r>
        <w:rPr>
          <w:rFonts w:ascii="Calibri" w:hAnsi="Calibri"/>
          <w:b/>
          <w:i w:val="0"/>
          <w:sz w:val="26"/>
        </w:rPr>
        <w:t>VII. Protokollschluss</w:t>
      </w:r>
    </w:p>
    <w:p>
      <w:pPr>
        <w:spacing w:after="120"/>
      </w:pPr>
      <w:r>
        <w:rPr>
          <w:rFonts w:ascii="Calibri" w:hAnsi="Calibri"/>
          <w:b w:val="0"/>
          <w:i w:val="0"/>
          <w:sz w:val="22"/>
        </w:rPr>
        <w:t>Das Protokoll wird von der Urkundsbeamtin Petra Lüthje (fiktiv) verlesen. Die Rechtspflegerin Sabine Tönnies (fiktiv) genehmigt das Protokoll. Der Termin endet um 12:47 Uhr.</w:t>
      </w:r>
    </w:p>
    <w:p/>
    <w:p>
      <w:pPr>
        <w:spacing w:after="120"/>
      </w:pPr>
      <w:r>
        <w:rPr>
          <w:rFonts w:ascii="Calibri" w:hAnsi="Calibri"/>
          <w:b w:val="0"/>
          <w:i w:val="0"/>
          <w:sz w:val="22"/>
        </w:rPr>
        <w:t>Hamburg, 16.07.2026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5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Sabine Tönnies (fiktiv)</w:t>
            </w:r>
          </w:p>
        </w:tc>
        <w:tc>
          <w:tcPr>
            <w:tcW w:type="dxa" w:w="4535"/>
            <w:shd w:val="clear" w:color="auto" w:fill="D9E1F2"/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sz w:val="20"/>
              </w:rPr>
              <w:t>Petra Lüthje (fiktiv)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Rechtspflegerin</w:t>
            </w:r>
          </w:p>
        </w:tc>
        <w:tc>
          <w:tcPr>
            <w:tcW w:type="dxa" w:w="4535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Urkundsbeamtin der Geschäftsstelle</w:t>
            </w:r>
          </w:p>
        </w:tc>
      </w:tr>
    </w:tbl>
    <w:p/>
    <w:p>
      <w:pPr>
        <w:spacing w:before="80" w:after="80"/>
      </w:pPr>
      <w:r>
        <w:rPr>
          <w:rFonts w:ascii="Calibri" w:hAnsi="Calibri"/>
          <w:b w:val="0"/>
          <w:i w:val="0"/>
          <w:color w:val="969696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120"/>
      </w:pPr>
      <w:r>
        <w:rPr>
          <w:rFonts w:ascii="Calibri" w:hAnsi="Calibri"/>
          <w:b w:val="0"/>
          <w:i w:val="0"/>
          <w:sz w:val="18"/>
        </w:rPr>
        <w:t>Fiktives Dokument für Übungszwecke. Alle Personen, Daten und Aktenzeichen sind erfunden.</w:t>
      </w:r>
    </w:p>
    <w:sectPr w:rsidR="00FC693F" w:rsidRPr="0006063C" w:rsidSect="00034616">
      <w:headerReference w:type="default" r:id="rId9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i w:val="0"/>
        <w:sz w:val="18"/>
      </w:rPr>
      <w:t>71 K 18/26 – Versteigerungstermin-Protokoll 16.07.2026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