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Calibri" w:hAnsi="Calibri"/>
          <w:b/>
          <w:i w:val="0"/>
          <w:sz w:val="32"/>
        </w:rPr>
        <w:t>AMTSGERICHT HAMBURG</w:t>
      </w:r>
    </w:p>
    <w:p>
      <w:pPr>
        <w:jc w:val="center"/>
      </w:pPr>
      <w:r>
        <w:rPr>
          <w:rFonts w:ascii="Calibri" w:hAnsi="Calibri"/>
          <w:b w:val="0"/>
          <w:i w:val="0"/>
          <w:sz w:val="24"/>
        </w:rPr>
        <w:t>Abteilung 71 – Zwangsversteigerung</w:t>
      </w:r>
    </w:p>
    <w:p>
      <w:pPr>
        <w:jc w:val="center"/>
      </w:pPr>
      <w:r>
        <w:rPr>
          <w:rFonts w:ascii="Calibri" w:hAnsi="Calibri"/>
          <w:b w:val="0"/>
          <w:i w:val="0"/>
          <w:sz w:val="20"/>
        </w:rPr>
        <w:t>Sievekingplatz 1 · 20355 Hamburg</w:t>
      </w:r>
    </w:p>
    <w:p/>
    <w:tbl>
      <w:tblPr>
        <w:tblW w:type="auto" w:w="0"/>
        <w:tblLook w:firstColumn="1" w:firstRow="1" w:lastColumn="0" w:lastRow="0" w:noHBand="0" w:noVBand="1" w:val="04A0"/>
      </w:tblPr>
      <w:tblGrid>
        <w:gridCol w:w="4561"/>
        <w:gridCol w:w="4561"/>
      </w:tblGrid>
      <w:tr>
        <w:tc>
          <w:tcPr>
            <w:tcW w:type="dxa" w:w="4561"/>
          </w:tcPr>
          <w:p>
            <w:r/>
          </w:p>
        </w:tc>
        <w:tc>
          <w:tcPr>
            <w:tcW w:type="dxa" w:w="4561"/>
          </w:tcPr>
          <w:p>
            <w:pPr>
              <w:jc w:val="right"/>
            </w:pPr>
            <w:r>
              <w:rPr>
                <w:rFonts w:ascii="Calibri" w:hAnsi="Calibri"/>
                <w:b w:val="0"/>
                <w:i w:val="0"/>
                <w:sz w:val="20"/>
              </w:rPr>
              <w:t>Aktenzeichen: 71 K 18/26</w:t>
              <w:br/>
              <w:t>Hamburg, 16.07.2026</w:t>
            </w:r>
          </w:p>
        </w:tc>
      </w:tr>
    </w:tbl>
    <w:p/>
    <w:p>
      <w:pPr>
        <w:jc w:val="center"/>
      </w:pPr>
      <w:r>
        <w:rPr>
          <w:rFonts w:ascii="Calibri" w:hAnsi="Calibri"/>
          <w:b/>
          <w:i w:val="0"/>
          <w:sz w:val="28"/>
        </w:rPr>
        <w:t>ZUSCHLAGSBESCHLUSS</w:t>
      </w:r>
    </w:p>
    <w:p/>
    <w:p>
      <w:pPr>
        <w:spacing w:before="240" w:after="80"/>
        <w:jc w:val="left"/>
      </w:pPr>
      <w:r>
        <w:rPr>
          <w:rFonts w:ascii="Calibri" w:hAnsi="Calibri"/>
          <w:b/>
          <w:i w:val="0"/>
          <w:sz w:val="24"/>
        </w:rPr>
        <w:t>In dem Zwangsversteigerungsverfahren</w:t>
      </w:r>
    </w:p>
    <w:tbl>
      <w:tblPr>
        <w:tblStyle w:val="TableGrid"/>
        <w:tblW w:type="auto" w:w="0"/>
        <w:tblLook w:firstColumn="1" w:firstRow="1" w:lastColumn="0" w:lastRow="0" w:noHBand="0" w:noVBand="1" w:val="04A0"/>
      </w:tblPr>
      <w:tblGrid>
        <w:gridCol w:w="4561"/>
        <w:gridCol w:w="4561"/>
      </w:tblGrid>
      <w:tr>
        <w:tc>
          <w:tcPr>
            <w:tcW w:type="dxa" w:w="2551"/>
            <w:shd w:val="clear" w:color="auto" w:fill="D9E1F2"/>
          </w:tcPr>
          <w:p>
            <w:pPr>
              <w:jc w:val="center"/>
            </w:pPr>
            <w:r>
              <w:rPr>
                <w:rFonts w:ascii="Calibri" w:hAnsi="Calibri"/>
                <w:b/>
                <w:i w:val="0"/>
                <w:sz w:val="20"/>
              </w:rPr>
              <w:t>Partei</w:t>
            </w:r>
          </w:p>
        </w:tc>
        <w:tc>
          <w:tcPr>
            <w:tcW w:type="dxa" w:w="6803"/>
            <w:shd w:val="clear" w:color="auto" w:fill="D9E1F2"/>
          </w:tcPr>
          <w:p>
            <w:pPr>
              <w:jc w:val="center"/>
            </w:pPr>
            <w:r>
              <w:rPr>
                <w:rFonts w:ascii="Calibri" w:hAnsi="Calibri"/>
                <w:b/>
                <w:i w:val="0"/>
                <w:sz w:val="20"/>
              </w:rPr>
              <w:t>Bezeichnung / Angaben</w:t>
            </w:r>
          </w:p>
        </w:tc>
      </w:tr>
      <w:tr>
        <w:tc>
          <w:tcPr>
            <w:tcW w:type="dxa" w:w="2551"/>
          </w:tcPr>
          <w:p>
            <w:r>
              <w:rPr>
                <w:rFonts w:ascii="Calibri" w:hAnsi="Calibri"/>
                <w:b w:val="0"/>
                <w:i w:val="0"/>
                <w:sz w:val="20"/>
              </w:rPr>
              <w:t>Betreibende Gläubigerin</w:t>
            </w:r>
          </w:p>
        </w:tc>
        <w:tc>
          <w:tcPr>
            <w:tcW w:type="dxa" w:w="6803"/>
          </w:tcPr>
          <w:p>
            <w:r>
              <w:rPr>
                <w:rFonts w:ascii="Calibri" w:hAnsi="Calibri"/>
                <w:b w:val="0"/>
                <w:i w:val="0"/>
                <w:sz w:val="20"/>
              </w:rPr>
              <w:t>Nordelbe Kreditbank AG (fiktiv), Hamburg, vertr. d. RA Gregor Sülfeld (fiktiv)</w:t>
            </w:r>
          </w:p>
        </w:tc>
      </w:tr>
      <w:tr>
        <w:tc>
          <w:tcPr>
            <w:tcW w:type="dxa" w:w="2551"/>
          </w:tcPr>
          <w:p>
            <w:r>
              <w:rPr>
                <w:rFonts w:ascii="Calibri" w:hAnsi="Calibri"/>
                <w:b w:val="0"/>
                <w:i w:val="0"/>
                <w:sz w:val="20"/>
              </w:rPr>
              <w:t>Schuldner / Schuldnerin</w:t>
            </w:r>
          </w:p>
        </w:tc>
        <w:tc>
          <w:tcPr>
            <w:tcW w:type="dxa" w:w="6803"/>
          </w:tcPr>
          <w:p>
            <w:r>
              <w:rPr>
                <w:rFonts w:ascii="Calibri" w:hAnsi="Calibri"/>
                <w:b w:val="0"/>
                <w:i w:val="0"/>
                <w:sz w:val="20"/>
              </w:rPr>
              <w:t>Erbengemeinschaft nach Jonas R. Albrecht (fiktiv): Heinrich J. Albrecht (fiktiv) und Sofie Albrecht-Wegener (fiktiv)</w:t>
            </w:r>
          </w:p>
        </w:tc>
      </w:tr>
      <w:tr>
        <w:tc>
          <w:tcPr>
            <w:tcW w:type="dxa" w:w="2551"/>
          </w:tcPr>
          <w:p>
            <w:r>
              <w:rPr>
                <w:rFonts w:ascii="Calibri" w:hAnsi="Calibri"/>
                <w:b w:val="0"/>
                <w:i w:val="0"/>
                <w:sz w:val="20"/>
              </w:rPr>
              <w:t>Ersteher</w:t>
            </w:r>
          </w:p>
        </w:tc>
        <w:tc>
          <w:tcPr>
            <w:tcW w:type="dxa" w:w="6803"/>
          </w:tcPr>
          <w:p>
            <w:r>
              <w:rPr>
                <w:rFonts w:ascii="Calibri" w:hAnsi="Calibri"/>
                <w:b w:val="0"/>
                <w:i w:val="0"/>
                <w:sz w:val="20"/>
              </w:rPr>
              <w:t>Nordhafen Immobilien UG (fiktiv), vertr. d. GF Paul Körner (fiktiv)</w:t>
            </w:r>
          </w:p>
        </w:tc>
      </w:tr>
      <w:tr>
        <w:tc>
          <w:tcPr>
            <w:tcW w:type="dxa" w:w="2551"/>
          </w:tcPr>
          <w:p>
            <w:r>
              <w:rPr>
                <w:rFonts w:ascii="Calibri" w:hAnsi="Calibri"/>
                <w:b w:val="0"/>
                <w:i w:val="0"/>
                <w:sz w:val="20"/>
              </w:rPr>
              <w:t>Objekt</w:t>
            </w:r>
          </w:p>
        </w:tc>
        <w:tc>
          <w:tcPr>
            <w:tcW w:type="dxa" w:w="6803"/>
          </w:tcPr>
          <w:p>
            <w:r>
              <w:rPr>
                <w:rFonts w:ascii="Calibri" w:hAnsi="Calibri"/>
                <w:b w:val="0"/>
                <w:i w:val="0"/>
                <w:sz w:val="20"/>
              </w:rPr>
              <w:t>Wohnungseigentum Nr. 9, eingetragen im Grundbuch Eppendorf Blatt 48291</w:t>
            </w:r>
          </w:p>
        </w:tc>
      </w:tr>
      <w:tr>
        <w:tc>
          <w:tcPr>
            <w:tcW w:type="dxa" w:w="2551"/>
          </w:tcPr>
          <w:p>
            <w:r>
              <w:rPr>
                <w:rFonts w:ascii="Calibri" w:hAnsi="Calibri"/>
                <w:b w:val="0"/>
                <w:i w:val="0"/>
                <w:sz w:val="20"/>
              </w:rPr>
              <w:t>Grundbucheintrag</w:t>
            </w:r>
          </w:p>
        </w:tc>
        <w:tc>
          <w:tcPr>
            <w:tcW w:type="dxa" w:w="6803"/>
          </w:tcPr>
          <w:p>
            <w:r>
              <w:rPr>
                <w:rFonts w:ascii="Calibri" w:hAnsi="Calibri"/>
                <w:b w:val="0"/>
                <w:i w:val="0"/>
                <w:sz w:val="20"/>
              </w:rPr>
              <w:t>39,20/1.000 MEA am Flurstück 1842/7, Gemarkung Eppendorf; Sondereigentum Wohnung Nr. 9, Eppendorfer Mühlenbogen 16, 3. OG li., 20249 Hamburg</w:t>
            </w:r>
          </w:p>
        </w:tc>
      </w:tr>
    </w:tbl>
    <w:p/>
    <w:p>
      <w:pPr>
        <w:spacing w:before="80" w:after="80"/>
      </w:pPr>
      <w:r>
        <w:rPr>
          <w:rFonts w:ascii="Calibri" w:hAnsi="Calibri"/>
          <w:b w:val="0"/>
          <w:i w:val="0"/>
          <w:color w:val="969696"/>
          <w:sz w:val="16"/>
        </w:rPr>
        <w:t>──────────────────────────────────────────────────────────────────────</w:t>
      </w:r>
    </w:p>
    <w:p>
      <w:pPr>
        <w:spacing w:before="240" w:after="80"/>
        <w:jc w:val="center"/>
      </w:pPr>
      <w:r>
        <w:rPr>
          <w:rFonts w:ascii="Calibri" w:hAnsi="Calibri"/>
          <w:b/>
          <w:i w:val="0"/>
          <w:sz w:val="28"/>
        </w:rPr>
        <w:t>BESCHLUSS</w:t>
      </w:r>
    </w:p>
    <w:p/>
    <w:p>
      <w:pPr>
        <w:spacing w:before="240" w:after="80"/>
        <w:jc w:val="left"/>
      </w:pPr>
      <w:r>
        <w:rPr>
          <w:rFonts w:ascii="Calibri" w:hAnsi="Calibri"/>
          <w:b/>
          <w:i w:val="0"/>
          <w:sz w:val="24"/>
        </w:rPr>
        <w:t>Tenor</w:t>
      </w:r>
    </w:p>
    <w:p>
      <w:pPr>
        <w:spacing w:after="120"/>
      </w:pPr>
      <w:r>
        <w:rPr>
          <w:rFonts w:ascii="Calibri" w:hAnsi="Calibri"/>
          <w:b w:val="0"/>
          <w:i w:val="0"/>
          <w:sz w:val="22"/>
        </w:rPr>
        <w:t>Im Versteigerungstermin vom 16.07.2026 wird das vorstehend bezeichnete Wohnungseigentum</w:t>
      </w:r>
    </w:p>
    <w:p>
      <w:pPr>
        <w:jc w:val="center"/>
      </w:pPr>
      <w:r>
        <w:rPr>
          <w:rFonts w:ascii="Calibri" w:hAnsi="Calibri"/>
          <w:b/>
          <w:i w:val="0"/>
          <w:sz w:val="24"/>
        </w:rPr>
        <w:t>der Nordhafen Immobilien UG (fiktiv)</w:t>
      </w:r>
    </w:p>
    <w:p>
      <w:pPr>
        <w:spacing w:after="120"/>
      </w:pPr>
      <w:r>
        <w:rPr>
          <w:rFonts w:ascii="Calibri" w:hAnsi="Calibri"/>
          <w:b w:val="0"/>
          <w:i w:val="0"/>
          <w:sz w:val="22"/>
        </w:rPr>
        <w:t>zum Bargebot von</w:t>
      </w:r>
    </w:p>
    <w:p>
      <w:pPr>
        <w:jc w:val="center"/>
      </w:pPr>
      <w:r>
        <w:rPr>
          <w:rFonts w:ascii="Calibri" w:hAnsi="Calibri"/>
          <w:b/>
          <w:i w:val="0"/>
          <w:sz w:val="28"/>
        </w:rPr>
        <w:t>534.000,00 EUR</w:t>
      </w:r>
    </w:p>
    <w:p>
      <w:pPr>
        <w:spacing w:after="120"/>
      </w:pPr>
      <w:r>
        <w:rPr>
          <w:rFonts w:ascii="Calibri" w:hAnsi="Calibri"/>
          <w:b w:val="0"/>
          <w:i w:val="0"/>
          <w:sz w:val="22"/>
        </w:rPr>
        <w:t>(in Worten: fünfhundertvierunddreißigtausend Euro)</w:t>
      </w:r>
    </w:p>
    <w:p>
      <w:pPr>
        <w:jc w:val="center"/>
      </w:pPr>
    </w:p>
    <w:p>
      <w:pPr>
        <w:spacing w:after="120"/>
      </w:pPr>
      <w:r>
        <w:rPr>
          <w:rFonts w:ascii="Calibri" w:hAnsi="Calibri"/>
          <w:b w:val="0"/>
          <w:i w:val="0"/>
          <w:sz w:val="22"/>
        </w:rPr>
        <w:t>zugeschlagen.</w:t>
      </w:r>
    </w:p>
    <w:p/>
    <w:p>
      <w:pPr>
        <w:spacing w:before="80" w:after="80"/>
      </w:pPr>
      <w:r>
        <w:rPr>
          <w:rFonts w:ascii="Calibri" w:hAnsi="Calibri"/>
          <w:b w:val="0"/>
          <w:i w:val="0"/>
          <w:color w:val="969696"/>
          <w:sz w:val="16"/>
        </w:rPr>
        <w:t>──────────────────────────────────────────────────────────────────────</w:t>
      </w:r>
    </w:p>
    <w:p>
      <w:pPr>
        <w:spacing w:before="240" w:after="80"/>
        <w:jc w:val="left"/>
      </w:pPr>
      <w:r>
        <w:rPr>
          <w:rFonts w:ascii="Calibri" w:hAnsi="Calibri"/>
          <w:b/>
          <w:i w:val="0"/>
          <w:sz w:val="26"/>
        </w:rPr>
        <w:t>Gründe</w:t>
      </w:r>
    </w:p>
    <w:p>
      <w:pPr>
        <w:spacing w:before="240" w:after="80"/>
        <w:jc w:val="left"/>
      </w:pPr>
      <w:r>
        <w:rPr>
          <w:rFonts w:ascii="Calibri" w:hAnsi="Calibri"/>
          <w:b/>
          <w:i w:val="0"/>
          <w:sz w:val="22"/>
        </w:rPr>
        <w:t>I. Verfahrensgang</w:t>
      </w:r>
    </w:p>
    <w:p>
      <w:pPr>
        <w:spacing w:after="120"/>
      </w:pPr>
      <w:r>
        <w:rPr>
          <w:rFonts w:ascii="Calibri" w:hAnsi="Calibri"/>
          <w:b w:val="0"/>
          <w:i w:val="0"/>
          <w:sz w:val="22"/>
        </w:rPr>
        <w:t>Die Nordelbe Kreditbank AG (fiktiv) hat die Zwangsversteigerung der im Tenor bezeichneten Eigentumswohnung betrieben. Die Zwangsversteigerung wurde mit Beschluss vom 12.02.2026 angeordnet und im Grundbuch eingetragen (Abt. II Nr. 3, Blatt 48291).</w:t>
      </w:r>
    </w:p>
    <w:p>
      <w:pPr>
        <w:spacing w:after="120"/>
      </w:pPr>
      <w:r>
        <w:rPr>
          <w:rFonts w:ascii="Calibri" w:hAnsi="Calibri"/>
          <w:b w:val="0"/>
          <w:i w:val="0"/>
          <w:sz w:val="22"/>
        </w:rPr>
        <w:t>Der Versteigerungstermin fand statt am 16.07.2026, 10:00 Uhr, Sievekingplatz 1, Saal 214, Amtsgericht Hamburg. Das Verfahren war ordnungsgemäß bekanntgemacht. Eine einstweilige Einstellung nach § 30a ZVG war nicht beantragt.</w:t>
      </w:r>
    </w:p>
    <w:p>
      <w:pPr>
        <w:spacing w:before="240" w:after="80"/>
        <w:jc w:val="left"/>
      </w:pPr>
      <w:r>
        <w:rPr>
          <w:rFonts w:ascii="Calibri" w:hAnsi="Calibri"/>
          <w:b/>
          <w:i w:val="0"/>
          <w:sz w:val="22"/>
        </w:rPr>
        <w:t>II. Verkehrswert</w:t>
      </w:r>
    </w:p>
    <w:p>
      <w:pPr>
        <w:spacing w:after="120"/>
      </w:pPr>
      <w:r>
        <w:rPr>
          <w:rFonts w:ascii="Calibri" w:hAnsi="Calibri"/>
          <w:b w:val="0"/>
          <w:i w:val="0"/>
          <w:sz w:val="22"/>
        </w:rPr>
        <w:t>Der Verkehrswert der Eigentumswohnung war durch Beschluss vom 14.05.2026 auf 685.000,00 EUR (Sechshundertfünfundachtzigtausend Euro) festgesetzt worden. Grundlage war das Gutachten des Sachverständigen Dipl.-Ing. Thorsten Malkwitz (fiktiv) vom 05.05.2026 (Gutachtennummer 2026-HH-117).</w:t>
      </w:r>
    </w:p>
    <w:p>
      <w:pPr>
        <w:spacing w:before="240" w:after="80"/>
        <w:jc w:val="left"/>
      </w:pPr>
      <w:r>
        <w:rPr>
          <w:rFonts w:ascii="Calibri" w:hAnsi="Calibri"/>
          <w:b/>
          <w:i w:val="0"/>
          <w:sz w:val="22"/>
        </w:rPr>
        <w:t>III. Geringstes Gebot</w:t>
      </w:r>
    </w:p>
    <w:p>
      <w:pPr>
        <w:spacing w:after="120"/>
      </w:pPr>
      <w:r>
        <w:rPr>
          <w:rFonts w:ascii="Calibri" w:hAnsi="Calibri"/>
          <w:b w:val="0"/>
          <w:i w:val="0"/>
          <w:sz w:val="22"/>
        </w:rPr>
        <w:t>Das geringste Gebot wurde im Termin auf 15.242,00 EUR festgestellt. Es enthält keine bestehenbleibenden Rechte, da alle eingetragenen Grundpfandrechte nachrangig zum betreibenden Recht der Gläubigerin oder durch den Zuschlag erledigt werden.</w:t>
      </w:r>
    </w:p>
    <w:p>
      <w:pPr>
        <w:spacing w:before="240" w:after="80"/>
        <w:jc w:val="left"/>
      </w:pPr>
      <w:r>
        <w:rPr>
          <w:rFonts w:ascii="Calibri" w:hAnsi="Calibri"/>
          <w:b/>
          <w:i w:val="0"/>
          <w:sz w:val="22"/>
        </w:rPr>
        <w:t>IV. Biettermin und Höchstgebot</w:t>
      </w:r>
    </w:p>
    <w:p>
      <w:pPr>
        <w:spacing w:after="120"/>
      </w:pPr>
      <w:r>
        <w:rPr>
          <w:rFonts w:ascii="Calibri" w:hAnsi="Calibri"/>
          <w:b w:val="0"/>
          <w:i w:val="0"/>
          <w:sz w:val="22"/>
        </w:rPr>
        <w:t>Im Biettermin wurden insgesamt 15 Gebote von drei Bietern abgegeben. Das höchste Gebot von 534.000,00 EUR wurde von der Nordhafen Immobilien UG (fiktiv) abgegeben. Die erforderliche Sicherheitsleistung in Höhe von 68.500,00 EUR wurde in zulässiger Form (Bankbürgschaft) rechtzeitig vor dem Termin nachgewiesen.</w:t>
      </w:r>
    </w:p>
    <w:p>
      <w:pPr>
        <w:spacing w:before="240" w:after="80"/>
        <w:jc w:val="left"/>
      </w:pPr>
      <w:r>
        <w:rPr>
          <w:rFonts w:ascii="Calibri" w:hAnsi="Calibri"/>
          <w:b/>
          <w:i w:val="0"/>
          <w:sz w:val="22"/>
        </w:rPr>
        <w:t>V. Kein Versagungsgrund</w:t>
      </w:r>
    </w:p>
    <w:p>
      <w:pPr>
        <w:spacing w:after="120"/>
      </w:pPr>
      <w:r>
        <w:rPr>
          <w:rFonts w:ascii="Calibri" w:hAnsi="Calibri"/>
          <w:b w:val="0"/>
          <w:i w:val="0"/>
          <w:sz w:val="22"/>
        </w:rPr>
        <w:t>Das Höchstgebot von 534.000,00 EUR übersteigt die 7/10-Grenze (§ 74a Abs. 1 ZVG) in Höhe von 479.500,00 EUR. Ein Antrag auf Versagung nach § 74a ZVG wurde nicht gestellt. Die 5/10-Grenze (§ 85a ZVG) von 342.500,00 EUR ist bei weitem nicht unterschritten. Weitere Versagungsgründe nach §§ 83, 84, 85a ZVG liegen nicht vor.</w:t>
      </w:r>
    </w:p>
    <w:p>
      <w:pPr>
        <w:spacing w:after="120"/>
      </w:pPr>
      <w:r>
        <w:rPr>
          <w:rFonts w:ascii="Calibri" w:hAnsi="Calibri"/>
          <w:b w:val="0"/>
          <w:i w:val="0"/>
          <w:sz w:val="22"/>
        </w:rPr>
        <w:t>Die betreibende Gläubigerin hat dem Zuschlag ausdrücklich zugestimmt. Der Schuldnerseite wurde das Recht auf Stellungnahme eingeräumt; ein Widerspruch wurde nicht erhoben.</w:t>
      </w:r>
    </w:p>
    <w:p>
      <w:pPr>
        <w:spacing w:before="240" w:after="80"/>
        <w:jc w:val="left"/>
      </w:pPr>
      <w:r>
        <w:rPr>
          <w:rFonts w:ascii="Calibri" w:hAnsi="Calibri"/>
          <w:b/>
          <w:i w:val="0"/>
          <w:sz w:val="22"/>
        </w:rPr>
        <w:t>VI. Folgen des Zuschlags</w:t>
      </w:r>
    </w:p>
    <w:p>
      <w:pPr>
        <w:spacing w:after="120"/>
      </w:pPr>
      <w:r>
        <w:rPr>
          <w:rFonts w:ascii="Calibri" w:hAnsi="Calibri"/>
          <w:b w:val="0"/>
          <w:i w:val="0"/>
          <w:sz w:val="22"/>
        </w:rPr>
        <w:t>Durch den Zuschlag geht das Eigentum an der Eigentumswohnung auf die Ersteherin über (§ 90 ZVG). Gleichzeitig erlöschen alle in §§ 91, 52 ZVG genannten Rechte am Grundstück, soweit sie nicht nach den Versteigerungsbedingungen bestehen bleiben. Besitz, Gefahr und Nutzen gehen mit Erteilung des Zuschlags auf die Ersteherin über.</w:t>
      </w:r>
    </w:p>
    <w:p>
      <w:pPr>
        <w:spacing w:after="120"/>
      </w:pPr>
      <w:r>
        <w:rPr>
          <w:rFonts w:ascii="Calibri" w:hAnsi="Calibri"/>
          <w:b w:val="0"/>
          <w:i w:val="0"/>
          <w:sz w:val="22"/>
        </w:rPr>
        <w:t>Die Ersteherin hat das Bargebot von 534.000,00 EUR zuzüglich etwaiger Zinsen (§ 49 Abs. 2 ZVG) innerhalb der gesetzlichen Frist zu zahlen. Die Sicherheitsleistung wird hierauf angerechnet.</w:t>
      </w:r>
    </w:p>
    <w:p>
      <w:pPr>
        <w:spacing w:before="240" w:after="80"/>
        <w:jc w:val="left"/>
      </w:pPr>
      <w:r>
        <w:rPr>
          <w:rFonts w:ascii="Calibri" w:hAnsi="Calibri"/>
          <w:b/>
          <w:i w:val="0"/>
          <w:sz w:val="22"/>
        </w:rPr>
        <w:t>VII. Grundbucheintragung</w:t>
      </w:r>
    </w:p>
    <w:p>
      <w:pPr>
        <w:spacing w:after="120"/>
      </w:pPr>
      <w:r>
        <w:rPr>
          <w:rFonts w:ascii="Calibri" w:hAnsi="Calibri"/>
          <w:b w:val="0"/>
          <w:i w:val="0"/>
          <w:sz w:val="22"/>
        </w:rPr>
        <w:t>Das Grundbuchamt wird nach Rechtskraft dieses Beschlusses von Amts wegen ersucht, die Ersteherin als neue Eigentümerin einzutragen und die durch den Zuschlag erloschenen Rechte zu löschen (§ 130 ZVG).</w:t>
      </w:r>
    </w:p>
    <w:p>
      <w:pPr>
        <w:spacing w:before="80" w:after="80"/>
      </w:pPr>
      <w:r>
        <w:rPr>
          <w:rFonts w:ascii="Calibri" w:hAnsi="Calibri"/>
          <w:b w:val="0"/>
          <w:i w:val="0"/>
          <w:color w:val="969696"/>
          <w:sz w:val="16"/>
        </w:rPr>
        <w:t>──────────────────────────────────────────────────────────────────────</w:t>
      </w:r>
    </w:p>
    <w:p>
      <w:pPr>
        <w:spacing w:before="240" w:after="80"/>
        <w:jc w:val="left"/>
      </w:pPr>
      <w:r>
        <w:rPr>
          <w:rFonts w:ascii="Calibri" w:hAnsi="Calibri"/>
          <w:b/>
          <w:i w:val="0"/>
          <w:sz w:val="24"/>
        </w:rPr>
        <w:t>Rechtsbehelfsbelehrung</w:t>
      </w:r>
    </w:p>
    <w:p>
      <w:pPr>
        <w:spacing w:after="120"/>
      </w:pPr>
      <w:r>
        <w:rPr>
          <w:rFonts w:ascii="Calibri" w:hAnsi="Calibri"/>
          <w:b w:val="0"/>
          <w:i w:val="0"/>
          <w:sz w:val="22"/>
        </w:rPr>
        <w:t>Gegen diesen Beschluss ist die **sofortige Beschwerde** nach § 97 ZVG zulässig. Die Beschwerde ist innerhalb einer Notfrist von zwei Wochen ab Zustellung des Beschlusses einzulegen. Sie ist beim Amtsgericht Hamburg oder beim Landgericht Hamburg (Rechtsmittelgericht) schriftlich einzulegen oder zur Niederschrift der Geschäftsstelle zu erklären.</w:t>
      </w:r>
    </w:p>
    <w:p>
      <w:pPr>
        <w:spacing w:after="120"/>
      </w:pPr>
      <w:r>
        <w:rPr>
          <w:rFonts w:ascii="Calibri" w:hAnsi="Calibri"/>
          <w:b w:val="0"/>
          <w:i w:val="0"/>
          <w:sz w:val="22"/>
        </w:rPr>
        <w:t>Das Rechtsmittel hat keine aufschiebende Wirkung.</w:t>
      </w:r>
    </w:p>
    <w:p>
      <w:pPr>
        <w:spacing w:before="80" w:after="80"/>
      </w:pPr>
      <w:r>
        <w:rPr>
          <w:rFonts w:ascii="Calibri" w:hAnsi="Calibri"/>
          <w:b w:val="0"/>
          <w:i w:val="0"/>
          <w:color w:val="969696"/>
          <w:sz w:val="16"/>
        </w:rPr>
        <w:t>──────────────────────────────────────────────────────────────────────</w:t>
      </w:r>
    </w:p>
    <w:p/>
    <w:p>
      <w:pPr>
        <w:spacing w:after="120"/>
      </w:pPr>
      <w:r>
        <w:rPr>
          <w:rFonts w:ascii="Calibri" w:hAnsi="Calibri"/>
          <w:b w:val="0"/>
          <w:i w:val="0"/>
          <w:sz w:val="22"/>
        </w:rPr>
        <w:t>Hamburg, 16.07.2026</w:t>
      </w:r>
    </w:p>
    <w:p/>
    <w:p>
      <w:pPr>
        <w:spacing w:after="120"/>
      </w:pPr>
      <w:r>
        <w:rPr>
          <w:rFonts w:ascii="Calibri" w:hAnsi="Calibri"/>
          <w:b w:val="0"/>
          <w:i w:val="0"/>
          <w:sz w:val="22"/>
        </w:rPr>
        <w:t>Sabine Tönnies (fiktiv)</w:t>
      </w:r>
    </w:p>
    <w:p>
      <w:pPr>
        <w:spacing w:after="120"/>
      </w:pPr>
      <w:r>
        <w:rPr>
          <w:rFonts w:ascii="Calibri" w:hAnsi="Calibri"/>
          <w:b w:val="0"/>
          <w:i w:val="0"/>
          <w:sz w:val="22"/>
        </w:rPr>
        <w:t>Rechtspflegerin</w:t>
      </w:r>
    </w:p>
    <w:p>
      <w:pPr>
        <w:spacing w:after="120"/>
      </w:pPr>
      <w:r>
        <w:rPr>
          <w:rFonts w:ascii="Calibri" w:hAnsi="Calibri"/>
          <w:b w:val="0"/>
          <w:i w:val="0"/>
          <w:sz w:val="22"/>
        </w:rPr>
        <w:t>Amtsgericht Hamburg, Abteilung 71</w:t>
      </w:r>
    </w:p>
    <w:p>
      <w:pPr>
        <w:spacing w:before="80" w:after="80"/>
      </w:pPr>
      <w:r>
        <w:rPr>
          <w:rFonts w:ascii="Calibri" w:hAnsi="Calibri"/>
          <w:b w:val="0"/>
          <w:i w:val="0"/>
          <w:color w:val="969696"/>
          <w:sz w:val="16"/>
        </w:rPr>
        <w:t>──────────────────────────────────────────────────────────────────────</w:t>
      </w:r>
    </w:p>
    <w:p>
      <w:pPr>
        <w:spacing w:after="120"/>
      </w:pPr>
      <w:r>
        <w:rPr>
          <w:rFonts w:ascii="Calibri" w:hAnsi="Calibri"/>
          <w:b w:val="0"/>
          <w:i w:val="0"/>
          <w:sz w:val="18"/>
        </w:rPr>
        <w:t>Fiktives Dokument für Übungszwecke. Alle Personen, Daten und Aktenzeichen sind erfunden.</w:t>
      </w:r>
    </w:p>
    <w:sectPr w:rsidR="00FC693F" w:rsidRPr="0006063C" w:rsidSect="00034616">
      <w:headerReference w:type="default" r:id="rId9"/>
      <w:pgSz w:w="12240" w:h="15840"/>
      <w:pgMar w:top="1701" w:right="1417"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rFonts w:ascii="Calibri" w:hAnsi="Calibri"/>
        <w:b w:val="0"/>
        <w:i w:val="0"/>
        <w:sz w:val="18"/>
      </w:rPr>
      <w:t>71 K 18/26</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