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jc w:val="center"/>
      </w:pPr>
      <w:r>
        <w:rPr>
          <w:rFonts w:ascii="Calibri" w:cs="Calibri" w:eastAsia="Calibri" w:hAnsi="Calibri"/>
          <w:b/>
          <w:bCs/>
          <w:color w:val="1B474D"/>
          <w:sz w:val="32"/>
          <w:szCs w:val="32"/>
        </w:rPr>
        <w:t xml:space="preserve">NON-BINDING TERM SHEET</w:t>
      </w:r>
    </w:p>
    <w:p>
      <w:pPr>
        <w:jc w:val="center"/>
      </w:pPr>
      <w:r>
        <w:rPr>
          <w:rFonts w:ascii="Calibri" w:cs="Calibri" w:eastAsia="Calibri" w:hAnsi="Calibri"/>
          <w:b/>
          <w:bCs/>
          <w:color w:val="1B474D"/>
          <w:sz w:val="24"/>
          <w:szCs w:val="24"/>
        </w:rPr>
        <w:t xml:space="preserve">SERIES A FINANCING — TRANCHE 2 DISBURSEMENT CONDITIONS</w:t>
      </w:r>
    </w:p>
    <w:p>
      <w:pPr>
        <w:spacing w:after="200"/>
        <w:jc w:val="center"/>
      </w:pPr>
      <w:r>
        <w:rPr>
          <w:rFonts w:ascii="Calibri" w:cs="Calibri" w:eastAsia="Calibri" w:hAnsi="Calibri"/>
          <w:color w:val="7A7974"/>
          <w:sz w:val="18"/>
          <w:szCs w:val="18"/>
        </w:rPr>
        <w:t xml:space="preserve">Paragrafix GmbH | HRB 247841 B AG Charlottenburg | Berlin</w:t>
      </w:r>
    </w:p>
    <w:p>
      <w:pPr>
        <w:spacing w:after="100"/>
      </w:pPr>
      <w:r>
        <w:rPr>
          <w:rFonts w:ascii="Calibri" w:cs="Calibri" w:eastAsia="Calibri" w:hAnsi="Calibri"/>
          <w:b/>
          <w:bCs/>
          <w:color w:val="A13544"/>
          <w:sz w:val="18"/>
          <w:szCs w:val="18"/>
        </w:rPr>
        <w:t xml:space="preserve">AUSZUG / EXTRACT — Für die Fortbestehensprognose § 19 InsO relevante Abschnitte</w:t>
      </w:r>
    </w:p>
    <w:p>
      <w:pPr>
        <w:spacing w:after="200"/>
      </w:pPr>
      <w:r>
        <w:rPr>
          <w:rFonts w:ascii="Calibri" w:cs="Calibri" w:eastAsia="Calibri" w:hAnsi="Calibri"/>
          <w:color w:val="1B474D"/>
          <w:sz w:val="14"/>
          <w:szCs w:val="14"/>
        </w:rPr>
        <w:t xml:space="preserve"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Heading2"/>
      </w:pPr>
      <w:r>
        <w:rPr>
          <w:b/>
          <w:bCs/>
          <w:color w:val="1B474D"/>
        </w:rPr>
        <w:t xml:space="preserve">1. PARTIES / PARTEIEN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5500"/>
      </w:tblGrid>
      <w:tr>
        <w:tc>
          <w:tcPr>
            <w:tcW w:type="dxa" w:w="2600"/>
            <w:shd w:fill="1B474D" w:color="1B474D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Party / Partei</w:t>
            </w:r>
          </w:p>
        </w:tc>
        <w:tc>
          <w:tcPr>
            <w:tcW w:type="dxa" w:w="5500"/>
            <w:shd w:fill="1B474D" w:color="1B474D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Details</w:t>
            </w:r>
          </w:p>
        </w:tc>
      </w:tr>
      <w:tr>
        <w:tc>
          <w:tcPr>
            <w:tcW w:type="dxa" w:w="26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Company / Gesellschaft</w:t>
            </w:r>
          </w:p>
        </w:tc>
        <w:tc>
          <w:tcPr>
            <w:tcW w:type="dxa" w:w="55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Paragrafix GmbH, Heidestraße 78, 10557 Berlin, HRB 247841 B</w:t>
            </w:r>
          </w:p>
        </w:tc>
      </w:tr>
      <w:tr>
        <w:tc>
          <w:tcPr>
            <w:tcW w:type="dxa" w:w="26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Lead Investor / Lead-Investor</w:t>
            </w:r>
          </w:p>
        </w:tc>
        <w:tc>
          <w:tcPr>
            <w:tcW w:type="dxa" w:w="55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Earlybird Venture Capital GmbH &amp; Co. KG, Ritterstraße 12, 10969 Berlin</w:t>
            </w:r>
          </w:p>
        </w:tc>
      </w:tr>
      <w:tr>
        <w:tc>
          <w:tcPr>
            <w:tcW w:type="dxa" w:w="26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Co-Investor 1</w:t>
            </w:r>
          </w:p>
        </w:tc>
        <w:tc>
          <w:tcPr>
            <w:tcW w:type="dxa" w:w="55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Cherry Ventures GmbH &amp; Co. KG, Ansbacher Str. 4, 10787 Berlin</w:t>
            </w:r>
          </w:p>
        </w:tc>
      </w:tr>
      <w:tr>
        <w:tc>
          <w:tcPr>
            <w:tcW w:type="dxa" w:w="26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Existing Angels / Bestehende Angels</w:t>
            </w:r>
          </w:p>
        </w:tc>
        <w:tc>
          <w:tcPr>
            <w:tcW w:type="dxa" w:w="55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3 Business Angels (gemäß Gesellschafterliste; nicht namentlich genannt)</w:t>
            </w:r>
          </w:p>
        </w:tc>
      </w:tr>
      <w:tr>
        <w:tc>
          <w:tcPr>
            <w:tcW w:type="dxa" w:w="26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Counsel / Rechtsberater der Gesellschaft</w:t>
            </w:r>
          </w:p>
        </w:tc>
        <w:tc>
          <w:tcPr>
            <w:tcW w:type="dxa" w:w="55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Hengeler Mueller Partnerschaft von Rechtsanwälten mbB, Berlin</w:t>
            </w:r>
          </w:p>
        </w:tc>
      </w:tr>
      <w:tr>
        <w:tc>
          <w:tcPr>
            <w:tcW w:type="dxa" w:w="26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Counsel / Rechtsberater des Investors</w:t>
            </w:r>
          </w:p>
        </w:tc>
        <w:tc>
          <w:tcPr>
            <w:tcW w:type="dxa" w:w="55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Orrick, Herrington &amp; Sutcliffe LLP, Munich/Berlin</w:t>
            </w:r>
          </w:p>
        </w:tc>
      </w:tr>
    </w:tbl>
    <w:p>
      <w:pPr>
        <w:spacing w:after="160"/>
      </w:pPr>
    </w:p>
    <w:p>
      <w:pPr>
        <w:pStyle w:val="Heading2"/>
      </w:pPr>
      <w:r>
        <w:rPr>
          <w:b/>
          <w:bCs/>
          <w:color w:val="1B474D"/>
        </w:rPr>
        <w:t xml:space="preserve">2. FINANCING STRUCTURE / FINANZIERUNGSSTRUKTUR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200"/>
        <w:gridCol w:w="3700"/>
      </w:tblGrid>
      <w:tr>
        <w:tc>
          <w:tcPr>
            <w:tcW w:type="dxa" w:w="2200"/>
            <w:shd w:fill="1B474D" w:color="1B474D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Parameter</w:t>
            </w:r>
          </w:p>
        </w:tc>
        <w:tc>
          <w:tcPr>
            <w:tcW w:type="dxa" w:w="2200"/>
            <w:shd w:fill="1B474D" w:color="1B474D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Base Value / Basiswert</w:t>
            </w:r>
          </w:p>
        </w:tc>
        <w:tc>
          <w:tcPr>
            <w:tcW w:type="dxa" w:w="3700"/>
            <w:shd w:fill="1B474D" w:color="1B474D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Notes / Hinweise</w:t>
            </w:r>
          </w:p>
        </w:tc>
      </w:tr>
      <w:tr>
        <w:tc>
          <w:tcPr>
            <w:tcW w:type="dxa" w:w="22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Total Series A Amount</w:t>
            </w:r>
          </w:p>
        </w:tc>
        <w:tc>
          <w:tcPr>
            <w:tcW w:type="dxa" w:w="22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EUR 8,500,000</w:t>
            </w:r>
          </w:p>
        </w:tc>
        <w:tc>
          <w:tcPr>
            <w:tcW w:type="dxa" w:w="37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Bereits geclosed März 2025 / Already closed March 2025</w:t>
            </w:r>
          </w:p>
        </w:tc>
      </w:tr>
      <w:tr>
        <w:tc>
          <w:tcPr>
            <w:tcW w:type="dxa" w:w="22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Tranche 1 (paid)</w:t>
            </w:r>
          </w:p>
        </w:tc>
        <w:tc>
          <w:tcPr>
            <w:tcW w:type="dxa" w:w="22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EUR 5,500,000</w:t>
            </w:r>
          </w:p>
        </w:tc>
        <w:tc>
          <w:tcPr>
            <w:tcW w:type="dxa" w:w="37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Ausgezahlt: 14.03.2025 / Disbursed: 14 March 2025</w:t>
            </w:r>
          </w:p>
        </w:tc>
      </w:tr>
      <w:tr>
        <w:tc>
          <w:tcPr>
            <w:tcW w:type="dxa" w:w="22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Tranche 2 (conditional)</w:t>
            </w:r>
          </w:p>
        </w:tc>
        <w:tc>
          <w:tcPr>
            <w:tcW w:type="dxa" w:w="22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EUR 3,000,000</w:t>
            </w:r>
          </w:p>
        </w:tc>
        <w:tc>
          <w:tcPr>
            <w:tcW w:type="dxa" w:w="37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Ausstehend, milestoneabhängig / Outstanding, milestone-conditional</w:t>
            </w:r>
          </w:p>
        </w:tc>
      </w:tr>
      <w:tr>
        <w:tc>
          <w:tcPr>
            <w:tcW w:type="dxa" w:w="22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Pre-Money Valuation</w:t>
            </w:r>
          </w:p>
        </w:tc>
        <w:tc>
          <w:tcPr>
            <w:tcW w:type="dxa" w:w="22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EUR 24,000,000</w:t>
            </w:r>
          </w:p>
        </w:tc>
        <w:tc>
          <w:tcPr>
            <w:tcW w:type="dxa" w:w="37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Unverändert für Tranche 2 / Unchanged for Tranche 2</w:t>
            </w:r>
          </w:p>
        </w:tc>
      </w:tr>
      <w:tr>
        <w:tc>
          <w:tcPr>
            <w:tcW w:type="dxa" w:w="22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Investment Type</w:t>
            </w:r>
          </w:p>
        </w:tc>
        <w:tc>
          <w:tcPr>
            <w:tcW w:type="dxa" w:w="22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Equity (Stammkapitalerhöhung)</w:t>
            </w:r>
          </w:p>
        </w:tc>
        <w:tc>
          <w:tcPr>
            <w:tcW w:type="dxa" w:w="37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§§ 55 ff. GmbHG</w:t>
            </w:r>
          </w:p>
        </w:tc>
      </w:tr>
      <w:tr>
        <w:tc>
          <w:tcPr>
            <w:tcW w:type="dxa" w:w="22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ESOP Pool</w:t>
            </w:r>
          </w:p>
        </w:tc>
        <w:tc>
          <w:tcPr>
            <w:tcW w:type="dxa" w:w="22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12% (post-money)</w:t>
            </w:r>
          </w:p>
        </w:tc>
        <w:tc>
          <w:tcPr>
            <w:tcW w:type="dxa" w:w="37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Bereits in Gesellschafterliste eingetragen</w:t>
            </w:r>
          </w:p>
        </w:tc>
      </w:tr>
      <w:tr>
        <w:tc>
          <w:tcPr>
            <w:tcW w:type="dxa" w:w="22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Liquidation Preference</w:t>
            </w:r>
          </w:p>
        </w:tc>
        <w:tc>
          <w:tcPr>
            <w:tcW w:type="dxa" w:w="22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1× non-participating</w:t>
            </w:r>
          </w:p>
        </w:tc>
        <w:tc>
          <w:tcPr>
            <w:tcW w:type="dxa" w:w="37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Earlybird, Cherry (pro rata)</w:t>
            </w:r>
          </w:p>
        </w:tc>
      </w:tr>
    </w:tbl>
    <w:p>
      <w:pPr>
        <w:spacing w:after="160"/>
      </w:pPr>
    </w:p>
    <w:p>
      <w:pPr>
        <w:pStyle w:val="Heading2"/>
      </w:pPr>
      <w:r>
        <w:rPr>
          <w:b/>
          <w:bCs/>
          <w:color w:val="1B474D"/>
        </w:rPr>
        <w:t xml:space="preserve">3. TRANCHE 2 DISBURSEMENT CONDITIONS / AUSZAHLUNGSVORAUSSETZUNGEN TRANCHE 2</w:t>
      </w:r>
    </w:p>
    <w:p>
      <w:pPr>
        <w:spacing w:after="60" w:before="120"/>
      </w:pPr>
      <w:r>
        <w:rPr>
          <w:rFonts w:ascii="Calibri" w:cs="Calibri" w:eastAsia="Calibri" w:hAnsi="Calibri"/>
          <w:b/>
          <w:bCs/>
          <w:color w:val="1B474D"/>
          <w:sz w:val="22"/>
          <w:szCs w:val="22"/>
        </w:rPr>
        <w:t xml:space="preserve">3.1  MILESTONE CONDITIONS (MEILENSTEINE)</w:t>
      </w:r>
    </w:p>
    <w:p>
      <w:pPr>
        <w:spacing w:after="60" w:before="60"/>
      </w:pPr>
      <w:r>
        <w:rPr>
          <w:rFonts w:ascii="Calibri" w:cs="Calibri" w:eastAsia="Calibri" w:hAnsi="Calibri"/>
          <w:color w:val="28251D"/>
          <w:sz w:val="20"/>
          <w:szCs w:val="20"/>
        </w:rPr>
        <w:t xml:space="preserve">All three milestones must be achieved simultaneously by the Milestone Verification Date:</w:t>
      </w:r>
    </w:p>
    <w:p>
      <w:pPr>
        <w:spacing w:after="40" w:before="40"/>
      </w:pPr>
      <w:r>
        <w:rPr>
          <w:rFonts w:ascii="Calibri" w:cs="Calibri" w:eastAsia="Calibri" w:hAnsi="Calibri"/>
          <w:color w:val="7A7974"/>
          <w:sz w:val="18"/>
          <w:szCs w:val="18"/>
        </w:rPr>
        <w:t xml:space="preserve">(Alle drei Meilensteine müssen kumulativ bis zum Milestone-Nachweis-Termin erfüllt sein:)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"/>
        <w:gridCol w:w="2400"/>
        <w:gridCol w:w="2000"/>
        <w:gridCol w:w="1800"/>
        <w:gridCol w:w="2000"/>
      </w:tblGrid>
      <w:tr>
        <w:tc>
          <w:tcPr>
            <w:tcW w:type="dxa" w:w="400"/>
            <w:shd w:fill="1B474D" w:color="1B474D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2400"/>
            <w:shd w:fill="1B474D" w:color="1B474D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Milestone / Meilenstein</w:t>
            </w:r>
          </w:p>
        </w:tc>
        <w:tc>
          <w:tcPr>
            <w:tcW w:type="dxa" w:w="2000"/>
            <w:shd w:fill="1B474D" w:color="1B474D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Target Value / Zielwert</w:t>
            </w:r>
          </w:p>
        </w:tc>
        <w:tc>
          <w:tcPr>
            <w:tcW w:type="dxa" w:w="1800"/>
            <w:shd w:fill="1B474D" w:color="1B474D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Verification Date / Nachweis-Termin</w:t>
            </w:r>
          </w:p>
        </w:tc>
        <w:tc>
          <w:tcPr>
            <w:tcW w:type="dxa" w:w="2000"/>
            <w:shd w:fill="1B474D" w:color="1B474D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Evidence / Nachweisdokument</w:t>
            </w:r>
          </w:p>
        </w:tc>
      </w:tr>
      <w:tr>
        <w:tc>
          <w:tcPr>
            <w:tcW w:type="dxa" w:w="4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M-1</w:t>
            </w:r>
          </w:p>
        </w:tc>
        <w:tc>
          <w:tcPr>
            <w:tcW w:type="dxa" w:w="24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Annual Recurring Revenue (ARR) / Jährlich wiederkehrender Umsatz (ARR)</w:t>
            </w:r>
          </w:p>
        </w:tc>
        <w:tc>
          <w:tcPr>
            <w:tcW w:type="dxa" w:w="20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≥ EUR 2,500,000 (Zwei Millionen fünfhunderttausend Euro)</w:t>
            </w:r>
          </w:p>
        </w:tc>
        <w:tc>
          <w:tcPr>
            <w:tcW w:type="dxa" w:w="18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30. Juni 2026 (30 June 2026)</w:t>
            </w:r>
          </w:p>
        </w:tc>
        <w:tc>
          <w:tcPr>
            <w:tcW w:type="dxa" w:w="20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Aktueller MRR-Report + Buchführungsdaten (DATEV) — zertifiziert durch Steuerberaterin</w:t>
            </w:r>
          </w:p>
        </w:tc>
      </w:tr>
      <w:tr>
        <w:tc>
          <w:tcPr>
            <w:tcW w:type="dxa" w:w="4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M-2</w:t>
            </w:r>
          </w:p>
        </w:tc>
        <w:tc>
          <w:tcPr>
            <w:tcW w:type="dxa" w:w="24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Net Revenue Retention (NRR) / Netto-Umsatzbindungsrate</w:t>
            </w:r>
          </w:p>
        </w:tc>
        <w:tc>
          <w:tcPr>
            <w:tcW w:type="dxa" w:w="20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≥ 110% (gemessen auf Kohortenbasis der Kunden mit mind. 12 Monaten Laufzeit)</w:t>
            </w:r>
          </w:p>
        </w:tc>
        <w:tc>
          <w:tcPr>
            <w:tcW w:type="dxa" w:w="18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30. Juni 2026</w:t>
            </w:r>
          </w:p>
        </w:tc>
        <w:tc>
          <w:tcPr>
            <w:tcW w:type="dxa" w:w="20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Kohorten-Analyse aus CRM-System (HubSpot) — verifiziert durch Investor</w:t>
            </w:r>
          </w:p>
        </w:tc>
      </w:tr>
      <w:tr>
        <w:tc>
          <w:tcPr>
            <w:tcW w:type="dxa" w:w="4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M-3</w:t>
            </w:r>
          </w:p>
        </w:tc>
        <w:tc>
          <w:tcPr>
            <w:tcW w:type="dxa" w:w="24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Paying Customer Count / Zahlende Kundenzahl</w:t>
            </w:r>
          </w:p>
        </w:tc>
        <w:tc>
          <w:tcPr>
            <w:tcW w:type="dxa" w:w="20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≥ 180 aktive, zahlende Abonnement-Kunden (nicht Testaccounts, keine eingestellten Kunden)</w:t>
            </w:r>
          </w:p>
        </w:tc>
        <w:tc>
          <w:tcPr>
            <w:tcW w:type="dxa" w:w="18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30. Juni 2026</w:t>
            </w:r>
          </w:p>
        </w:tc>
        <w:tc>
          <w:tcPr>
            <w:tcW w:type="dxa" w:w="20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Kundenliste mit Vertragsdaten aus CRM — datenschutzgerecht anonymisiert</w:t>
            </w:r>
          </w:p>
        </w:tc>
      </w:tr>
    </w:tbl>
    <w:p>
      <w:pPr>
        <w:spacing w:after="120"/>
      </w:pPr>
    </w:p>
    <w:p>
      <w:pPr>
        <w:spacing w:after="60" w:before="120"/>
      </w:pPr>
      <w:r>
        <w:rPr>
          <w:rFonts w:ascii="Calibri" w:cs="Calibri" w:eastAsia="Calibri" w:hAnsi="Calibri"/>
          <w:b/>
          <w:bCs/>
          <w:color w:val="1B474D"/>
          <w:sz w:val="22"/>
          <w:szCs w:val="22"/>
        </w:rPr>
        <w:t xml:space="preserve">3.2  MILESTONE VERIFICATION PROCESS / MEILENSTEINNACHWEIS-VERFAHREN</w:t>
      </w:r>
    </w:p>
    <w:p>
      <w:pPr>
        <w:spacing w:after="60" w:before="60"/>
      </w:pPr>
      <w:r>
        <w:rPr>
          <w:rFonts w:ascii="Calibri" w:cs="Calibri" w:eastAsia="Calibri" w:hAnsi="Calibri"/>
          <w:color w:val="28251D"/>
          <w:sz w:val="20"/>
          <w:szCs w:val="20"/>
        </w:rPr>
        <w:t xml:space="preserve">(a)  No later than July 10, 2026, the Company shall deliver to Earlybird a written milestone achievement report (Meilenstein-Erfüllungsbericht) certified by the Company's auditor / tax advisor.</w:t>
      </w:r>
    </w:p>
    <w:p>
      <w:pPr>
        <w:spacing w:after="60" w:before="60"/>
      </w:pPr>
      <w:r>
        <w:rPr>
          <w:rFonts w:ascii="Calibri" w:cs="Calibri" w:eastAsia="Calibri" w:hAnsi="Calibri"/>
          <w:color w:val="7A7974"/>
          <w:sz w:val="18"/>
          <w:szCs w:val="18"/>
        </w:rPr>
        <w:t xml:space="preserve">    (Spätestens bis zum 10. Juli 2026 überreicht die Gesellschaft Earlybird einen schriftlichen Meilenstein-Nachweis, der durch die Steuerberaterin der Gesellschaft bestätigt wird.)</w:t>
      </w:r>
    </w:p>
    <w:p>
      <w:pPr>
        <w:spacing w:after="60" w:before="60"/>
      </w:pPr>
      <w:r>
        <w:rPr>
          <w:rFonts w:ascii="Calibri" w:cs="Calibri" w:eastAsia="Calibri" w:hAnsi="Calibri"/>
          <w:color w:val="28251D"/>
          <w:sz w:val="20"/>
          <w:szCs w:val="20"/>
        </w:rPr>
        <w:t xml:space="preserve">(b)  Earlybird shall have 10 business days to review and accept or dispute the milestone achievement report.</w:t>
      </w:r>
    </w:p>
    <w:p>
      <w:pPr>
        <w:spacing w:after="60" w:before="60"/>
      </w:pPr>
      <w:r>
        <w:rPr>
          <w:rFonts w:ascii="Calibri" w:cs="Calibri" w:eastAsia="Calibri" w:hAnsi="Calibri"/>
          <w:color w:val="7A7974"/>
          <w:sz w:val="18"/>
          <w:szCs w:val="18"/>
        </w:rPr>
        <w:t xml:space="preserve">    (Earlybird hat 10 Werktage Zeit, den Bericht zu prüfen und entweder anzunehmen oder zu bestreiten.)</w:t>
      </w:r>
    </w:p>
    <w:p>
      <w:pPr>
        <w:spacing w:after="60" w:before="60"/>
      </w:pPr>
      <w:r>
        <w:rPr>
          <w:rFonts w:ascii="Calibri" w:cs="Calibri" w:eastAsia="Calibri" w:hAnsi="Calibri"/>
          <w:color w:val="28251D"/>
          <w:sz w:val="20"/>
          <w:szCs w:val="20"/>
        </w:rPr>
        <w:t xml:space="preserve">(c)  Upon undisputed achievement, Earlybird shall cause the disbursement of EUR 3,000,000 within 10 business days via wire transfer.</w:t>
      </w:r>
    </w:p>
    <w:p>
      <w:pPr>
        <w:spacing w:after="160" w:before="60"/>
      </w:pPr>
      <w:r>
        <w:rPr>
          <w:rFonts w:ascii="Calibri" w:cs="Calibri" w:eastAsia="Calibri" w:hAnsi="Calibri"/>
          <w:color w:val="7A7974"/>
          <w:sz w:val="18"/>
          <w:szCs w:val="18"/>
        </w:rPr>
        <w:t xml:space="preserve">    (Bei unbestrittener Erfüllung zahlt Earlybird EUR 3.000.000,00 innerhalb von 10 Werktagen per Überweisung aus.)</w:t>
      </w:r>
    </w:p>
    <w:p>
      <w:pPr>
        <w:pStyle w:val="Heading2"/>
      </w:pPr>
      <w:r>
        <w:rPr>
          <w:b/>
          <w:bCs/>
          <w:color w:val="1B474D"/>
        </w:rPr>
        <w:t xml:space="preserve">4. ALTERNATIVE SCENARIOS / ALTERNATIVSZENARIEN</w:t>
      </w:r>
    </w:p>
    <w:p>
      <w:pPr>
        <w:spacing w:after="80" w:before="80"/>
      </w:pPr>
      <w:r>
        <w:rPr>
          <w:rFonts w:ascii="Calibri" w:cs="Calibri" w:eastAsia="Calibri" w:hAnsi="Calibri"/>
          <w:color w:val="28251D"/>
          <w:sz w:val="20"/>
          <w:szCs w:val="20"/>
        </w:rPr>
        <w:t xml:space="preserve">4.1  Partial Achievement — If only M-1 and M-3 are met but NRR is between 100% and 110%, the parties agree to negotiate in good faith a reduced tranche disbursement of not less than EUR 1,500,000 and/or a convertible loan structure.</w:t>
      </w:r>
    </w:p>
    <w:p>
      <w:pPr>
        <w:spacing w:after="80" w:before="60"/>
      </w:pPr>
      <w:r>
        <w:rPr>
          <w:rFonts w:ascii="Calibri" w:cs="Calibri" w:eastAsia="Calibri" w:hAnsi="Calibri"/>
          <w:color w:val="7A7974"/>
          <w:sz w:val="18"/>
          <w:szCs w:val="18"/>
        </w:rPr>
        <w:t xml:space="preserve">    (Teilerfüllung — Falls nur M-1 und M-3 erfüllt, NRR zwischen 100 % und 110 %, verhandeln die Parteien in gutem Glauben über eine Teilauszahlung von mind. 1.500.000,00 EUR und/oder eine Wandeldarlehensstruktur.)</w:t>
      </w:r>
    </w:p>
    <w:p>
      <w:pPr>
        <w:spacing w:after="80" w:before="80"/>
      </w:pPr>
      <w:r>
        <w:rPr>
          <w:rFonts w:ascii="Calibri" w:cs="Calibri" w:eastAsia="Calibri" w:hAnsi="Calibri"/>
          <w:color w:val="28251D"/>
          <w:sz w:val="20"/>
          <w:szCs w:val="20"/>
        </w:rPr>
        <w:t xml:space="preserve">4.2  Missed Milestones — If Milestones are not achieved by the Verification Date, the Company and Earlybird shall meet within 15 business days to agree on a revised funding plan. This Term Sheet does not create any obligation on Earlybird to disburse Tranche 2 if Milestones are not achieved.</w:t>
      </w:r>
    </w:p>
    <w:p>
      <w:pPr>
        <w:spacing w:after="160" w:before="60"/>
      </w:pPr>
      <w:r>
        <w:rPr>
          <w:rFonts w:ascii="Calibri" w:cs="Calibri" w:eastAsia="Calibri" w:hAnsi="Calibri"/>
          <w:color w:val="7A7974"/>
          <w:sz w:val="18"/>
          <w:szCs w:val="18"/>
        </w:rPr>
        <w:t xml:space="preserve">    (Nicht-Erreichung — Falls Meilensteine nicht erfüllt: innerhalb von 15 Werktagen Treffen zur Besprechung eines überarbeiteten Finanzierungsplans. Dieses Term Sheet begründet keine Verpflichtung von Earlybird zur Auszahlung von Tranche 2 bei Nicht-Erreichung.)</w:t>
      </w:r>
    </w:p>
    <w:p>
      <w:pPr>
        <w:pStyle w:val="Heading2"/>
      </w:pPr>
      <w:r>
        <w:rPr>
          <w:b/>
          <w:bCs/>
          <w:color w:val="1B474D"/>
        </w:rPr>
        <w:t xml:space="preserve">5. IMPORTANT NOTICE / WICHTIGER HINWEIS</w:t>
      </w:r>
    </w:p>
    <w:p>
      <w:pPr>
        <w:spacing w:after="80" w:before="80"/>
      </w:pPr>
      <w:r>
        <w:rPr>
          <w:rFonts w:ascii="Calibri" w:cs="Calibri" w:eastAsia="Calibri" w:hAnsi="Calibri"/>
          <w:b/>
          <w:bCs/>
          <w:color w:val="A13544"/>
          <w:sz w:val="18"/>
          <w:szCs w:val="18"/>
        </w:rPr>
        <w:t xml:space="preserve">THIS TERM SHEET IS NON-BINDING AND DOES NOT CONSTITUTE A LEGALLY ENFORCEABLE AGREEMENT OR COMMITMENT TO FUND. Any disbursement of Tranche 2 is subject to: (i) achievement of all Milestones; (ii) no material adverse change in the Company's business, financial condition or prospects; (iii) satisfactory completion of investor due diligence; (iv) execution of binding amendment agreements to the Series A Shareholders' Agreement and Subscription Agreement; (v) approval by the Earlybird Investment Committee.</w:t>
      </w:r>
    </w:p>
    <w:p>
      <w:pPr>
        <w:spacing w:after="160" w:before="60"/>
      </w:pPr>
      <w:r>
        <w:rPr>
          <w:rFonts w:ascii="Calibri" w:cs="Calibri" w:eastAsia="Calibri" w:hAnsi="Calibri"/>
          <w:color w:val="A13544"/>
          <w:sz w:val="18"/>
          <w:szCs w:val="18"/>
        </w:rPr>
        <w:t xml:space="preserve">DIESES TERM SHEET IST UNVERBINDLICH UND BEGRÜNDET KEINE RECHTLICH DURCHSETZBAREN VERPFLICHTUNGEN. Die Auszahlung von Tranche 2 setzt voraus: (i) Erreichen aller Meilensteine; (ii) keine wesentliche negative Veränderung des Unternehmens; (iii) abgeschlossene Due Diligence; (iv) Unterzeichnung bindender Vertragsänderungen; (v) Zustimmung des Earlybird Investment Committees.</w:t>
      </w:r>
    </w:p>
    <w:p>
      <w:pPr>
        <w:spacing w:after="200"/>
      </w:pPr>
      <w:r>
        <w:rPr>
          <w:rFonts w:ascii="Calibri" w:cs="Calibri" w:eastAsia="Calibri" w:hAnsi="Calibri"/>
          <w:color w:val="1B474D"/>
          <w:sz w:val="14"/>
          <w:szCs w:val="14"/>
        </w:rPr>
        <w:t xml:space="preserve"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80" w:before="80"/>
      </w:pPr>
      <w:r>
        <w:rPr>
          <w:rFonts w:ascii="Calibri" w:cs="Calibri" w:eastAsia="Calibri" w:hAnsi="Calibri"/>
          <w:color w:val="7A7974"/>
          <w:sz w:val="18"/>
          <w:szCs w:val="18"/>
        </w:rPr>
        <w:t xml:space="preserve">Berlin / San Francisco, 14 February 2025 (Datum des Series-A-Closings) | Dieser Auszug wurde am 02.05.2026 für die Akte Fortbestehensprognose § 19 InsO erstellt.</w:t>
      </w:r>
    </w:p>
    <w:p>
      <w:pPr>
        <w:spacing w:after="80" w:before="80"/>
      </w:pPr>
      <w:r>
        <w:rPr>
          <w:rFonts w:ascii="Calibri" w:cs="Calibri" w:eastAsia="Calibri" w:hAnsi="Calibri"/>
          <w:color w:val="28251D"/>
          <w:sz w:val="18"/>
          <w:szCs w:val="18"/>
        </w:rPr>
        <w:t xml:space="preserve">Initialed / Paraphiert: _________________ (Earlybird)   _________________ (Paragrafix GmbH)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Normal">
    <w:name w:val="Normal"/>
    <w:rPr>
      <w:rFonts w:ascii="Calibri" w:cs="Calibri" w:eastAsia="Calibri" w:hAnsi="Calibri"/>
      <w:color w:val="28251D"/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 Sheet Series A Tranche 2 — Paragrafix GmbH</dc:title>
  <dc:creator>Perplexity Computer</dc:creator>
  <dc:description>Auszug Term Sheet Series A Tranche 2 — Paragrafix GmbH</dc:description>
  <cp:lastModifiedBy>Un-named</cp:lastModifiedBy>
  <cp:revision>1</cp:revision>
  <dcterms:created xsi:type="dcterms:W3CDTF">2026-05-20T10:05:09.151Z</dcterms:created>
  <dcterms:modified xsi:type="dcterms:W3CDTF">2026-05-20T10:05:09.151Z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