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color w:val="A13544"/>
          <w:sz w:val="26"/>
          <w:szCs w:val="26"/>
        </w:rPr>
        <w:t xml:space="preserve">INTERNES MEMORANDUM — VERTRAULICH</w:t>
      </w:r>
    </w:p>
    <w:p>
      <w:pPr>
        <w:spacing w:after="80"/>
        <w:jc w:val="center"/>
      </w:pPr>
      <w:r>
        <w:rPr>
          <w:rFonts w:ascii="Calibri" w:cs="Calibri" w:eastAsia="Calibri" w:hAnsi="Calibri"/>
          <w:b/>
          <w:bCs/>
          <w:color w:val="1B474D"/>
          <w:sz w:val="32"/>
          <w:szCs w:val="32"/>
        </w:rPr>
        <w:t xml:space="preserve">SANIERUNGSBAUSTEINE Q2 2026</w:t>
      </w:r>
    </w:p>
    <w:p>
      <w:pPr>
        <w:spacing w:after="200"/>
        <w:jc w:val="center"/>
      </w:pPr>
      <w:r>
        <w:rPr>
          <w:rFonts w:ascii="Calibri" w:cs="Calibri" w:eastAsia="Calibri" w:hAnsi="Calibri"/>
          <w:color w:val="7A7974"/>
          <w:sz w:val="20"/>
          <w:szCs w:val="20"/>
        </w:rPr>
        <w:t xml:space="preserve">Paragrafix GmbH — Vorbereitung Fortbestehensprognose § 19 Abs. 2 InsO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5300"/>
      </w:tblGrid>
      <w:tr>
        <w:tc>
          <w:tcPr>
            <w:tcW w:type="dxa" w:w="28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An / To:</w:t>
            </w:r>
          </w:p>
        </w:tc>
        <w:tc>
          <w:tcPr>
            <w:tcW w:type="dxa" w:w="53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Gesellschafter-Ausschuss (Earlybird, Cherry, Business Angels) | Advisory Board</w:t>
            </w:r>
          </w:p>
        </w:tc>
      </w:tr>
      <w:tr>
        <w:tc>
          <w:tcPr>
            <w:tcW w:type="dxa" w:w="2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Von / From:</w:t>
            </w:r>
          </w:p>
        </w:tc>
        <w:tc>
          <w:tcPr>
            <w:tcW w:type="dxa" w:w="53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Dr. Carolin Vogt-Hesselbach, Geschäftsführerin | Yannik Brodersen, Geschäftsführer</w:t>
            </w:r>
          </w:p>
        </w:tc>
      </w:tr>
      <w:tr>
        <w:tc>
          <w:tcPr>
            <w:tcW w:type="dxa" w:w="28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Datum / Date:</w:t>
            </w:r>
          </w:p>
        </w:tc>
        <w:tc>
          <w:tcPr>
            <w:tcW w:type="dxa" w:w="53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2. Mai 2026</w:t>
            </w:r>
          </w:p>
        </w:tc>
      </w:tr>
      <w:tr>
        <w:tc>
          <w:tcPr>
            <w:tcW w:type="dxa" w:w="2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Betreff / Re:</w:t>
            </w:r>
          </w:p>
        </w:tc>
        <w:tc>
          <w:tcPr>
            <w:tcW w:type="dxa" w:w="53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Liquiditätsmanagement Q2/Q3 2026 — Sanierungsbausteine und Handlungsoptionen</w:t>
            </w:r>
          </w:p>
        </w:tc>
      </w:tr>
      <w:tr>
        <w:tc>
          <w:tcPr>
            <w:tcW w:type="dxa" w:w="28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Klassifizierung:</w:t>
            </w:r>
          </w:p>
        </w:tc>
        <w:tc>
          <w:tcPr>
            <w:tcW w:type="dxa" w:w="53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STRENG VERTRAULICH — Nur für berechtigte Empfänger</w:t>
            </w:r>
          </w:p>
        </w:tc>
      </w:tr>
      <w:tr>
        <w:tc>
          <w:tcPr>
            <w:tcW w:type="dxa" w:w="2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Anlagen:</w:t>
            </w:r>
          </w:p>
        </w:tc>
        <w:tc>
          <w:tcPr>
            <w:tcW w:type="dxa" w:w="53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01_Bilanz (31.12.2025), 04_Cashflow-Modell (Mai 2026–Apr 2027), 12_Liquiditätsplanung (KW18–30), 07_StaRUG-Hinweisschreiben</w:t>
            </w:r>
          </w:p>
        </w:tc>
      </w:tr>
    </w:tbl>
    <w:p>
      <w:pPr>
        <w:spacing w:after="120"/>
      </w:pPr>
    </w:p>
    <w:p>
      <w:pPr>
        <w:pStyle w:val="Heading2"/>
      </w:pPr>
      <w:r>
        <w:rPr>
          <w:b/>
          <w:bCs/>
          <w:color w:val="1B474D"/>
        </w:rPr>
        <w:t xml:space="preserve">1. AUSGANGSLAGE</w:t>
      </w:r>
    </w:p>
    <w:p>
      <w:pPr>
        <w:spacing w:after="80" w:before="80"/>
      </w:pPr>
      <w:r>
        <w:rPr>
          <w:rFonts w:ascii="Calibri" w:cs="Calibri" w:eastAsia="Calibri" w:hAnsi="Calibri"/>
          <w:color w:val="28251D"/>
          <w:sz w:val="20"/>
          <w:szCs w:val="20"/>
        </w:rPr>
        <w:t xml:space="preserve">Auf Basis der aktuellen Buchführungsunterlagen (BWA April 2026, Kontoauszüge) und des vorliegenden StaRUG-Hinweisschreibens unserer Steuerberaterin Frau Steiglitz (KMK Berlin, 06.05.2026) dokumentieren wir hiermit die Liquiditätslage und die geplanten Sanierungsmaßnahmen.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800"/>
        <w:gridCol w:w="2500"/>
      </w:tblGrid>
      <w:tr>
        <w:tc>
          <w:tcPr>
            <w:tcW w:type="dxa" w:w="28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Kennzahl</w:t>
            </w:r>
          </w:p>
        </w:tc>
        <w:tc>
          <w:tcPr>
            <w:tcW w:type="dxa" w:w="28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Ist-Wert 30.04.2026</w:t>
            </w:r>
          </w:p>
        </w:tc>
        <w:tc>
          <w:tcPr>
            <w:tcW w:type="dxa" w:w="25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Einschätzung</w:t>
            </w:r>
          </w:p>
        </w:tc>
      </w:tr>
      <w:tr>
        <w:tc>
          <w:tcPr>
            <w:tcW w:type="dxa" w:w="2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Kassenbestand</w:t>
            </w:r>
          </w:p>
        </w:tc>
        <w:tc>
          <w:tcPr>
            <w:tcW w:type="dxa" w:w="2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1.870.000,00 EUR</w:t>
            </w:r>
          </w:p>
        </w:tc>
        <w:tc>
          <w:tcPr>
            <w:tcW w:type="dxa" w:w="25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Positiv — ausreichend für ca. 4,9 Monate</w:t>
            </w:r>
          </w:p>
        </w:tc>
      </w:tr>
      <w:tr>
        <w:tc>
          <w:tcPr>
            <w:tcW w:type="dxa" w:w="28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MRR April 2026</w:t>
            </w:r>
          </w:p>
        </w:tc>
        <w:tc>
          <w:tcPr>
            <w:tcW w:type="dxa" w:w="28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187.400,00 EUR</w:t>
            </w:r>
          </w:p>
        </w:tc>
        <w:tc>
          <w:tcPr>
            <w:tcW w:type="dxa" w:w="25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Positiv — MoM +12 %</w:t>
            </w:r>
          </w:p>
        </w:tc>
      </w:tr>
      <w:tr>
        <w:tc>
          <w:tcPr>
            <w:tcW w:type="dxa" w:w="2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ARR April 2026</w:t>
            </w:r>
          </w:p>
        </w:tc>
        <w:tc>
          <w:tcPr>
            <w:tcW w:type="dxa" w:w="2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2.249.000,00 EUR (hochgerechnet)</w:t>
            </w:r>
          </w:p>
        </w:tc>
        <w:tc>
          <w:tcPr>
            <w:tcW w:type="dxa" w:w="25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Noch nicht Milestone-2-Level (2,5 Mio.)</w:t>
            </w:r>
          </w:p>
        </w:tc>
      </w:tr>
      <w:tr>
        <w:tc>
          <w:tcPr>
            <w:tcW w:type="dxa" w:w="28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Burn-Rate Q1/Q2 2026</w:t>
            </w:r>
          </w:p>
        </w:tc>
        <w:tc>
          <w:tcPr>
            <w:tcW w:type="dxa" w:w="28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ca. 380.000,00 EUR / Monat</w:t>
            </w:r>
          </w:p>
        </w:tc>
        <w:tc>
          <w:tcPr>
            <w:tcW w:type="dxa" w:w="25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Hoch — Optimierungsmaßnahmen eingeleitet</w:t>
            </w:r>
          </w:p>
        </w:tc>
      </w:tr>
      <w:tr>
        <w:tc>
          <w:tcPr>
            <w:tcW w:type="dxa" w:w="2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3-Wochen-Test § 17 InsO</w:t>
            </w:r>
          </w:p>
        </w:tc>
        <w:tc>
          <w:tcPr>
            <w:tcW w:type="dxa" w:w="2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POSITIV</w:t>
            </w:r>
          </w:p>
        </w:tc>
        <w:tc>
          <w:tcPr>
            <w:tcW w:type="dxa" w:w="25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Zahlungsfähigkeit aktuell gegeben</w:t>
            </w:r>
          </w:p>
        </w:tc>
      </w:tr>
      <w:tr>
        <w:tc>
          <w:tcPr>
            <w:tcW w:type="dxa" w:w="28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Cash-Runway ohne Tranche 2</w:t>
            </w:r>
          </w:p>
        </w:tc>
        <w:tc>
          <w:tcPr>
            <w:tcW w:type="dxa" w:w="28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ca. August/September 2026</w:t>
            </w:r>
          </w:p>
        </w:tc>
        <w:tc>
          <w:tcPr>
            <w:tcW w:type="dxa" w:w="25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KRITISCH — Maßnahmen erforderlich</w:t>
            </w:r>
          </w:p>
        </w:tc>
      </w:tr>
      <w:tr>
        <w:tc>
          <w:tcPr>
            <w:tcW w:type="dxa" w:w="2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Tranche 2 Status</w:t>
            </w:r>
          </w:p>
        </w:tc>
        <w:tc>
          <w:tcPr>
            <w:tcW w:type="dxa" w:w="2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Milestones noch nicht erfüllt (ARR ~2,25 Mio.)</w:t>
            </w:r>
          </w:p>
        </w:tc>
        <w:tc>
          <w:tcPr>
            <w:tcW w:type="dxa" w:w="25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Milestone-Lücke ca. 250.000 EUR ARR</w:t>
            </w:r>
          </w:p>
        </w:tc>
      </w:tr>
    </w:tbl>
    <w:p>
      <w:pPr>
        <w:spacing w:after="120"/>
      </w:pPr>
    </w:p>
    <w:p>
      <w:pPr>
        <w:pStyle w:val="Heading2"/>
      </w:pPr>
      <w:r>
        <w:rPr>
          <w:b/>
          <w:bCs/>
          <w:color w:val="1B474D"/>
        </w:rPr>
        <w:t xml:space="preserve">2. SANIERUNGSBAUSTEINE IM EINZELNEN</w:t>
      </w:r>
    </w:p>
    <w:p>
      <w:pPr>
        <w:pStyle w:val="Heading3"/>
      </w:pPr>
      <w:r>
        <w:rPr>
          <w:b/>
          <w:bCs/>
          <w:color w:val="1B474D"/>
        </w:rPr>
        <w:t xml:space="preserve">2.1  Wandeldarlehen Earlybird — Brückenfinanzierung</w:t>
      </w:r>
    </w:p>
    <w:p>
      <w:pPr>
        <w:spacing w:after="60" w:before="80"/>
      </w:pPr>
      <w:r>
        <w:rPr>
          <w:rFonts w:ascii="Calibri" w:cs="Calibri" w:eastAsia="Calibri" w:hAnsi="Calibri"/>
          <w:b/>
          <w:bCs/>
          <w:color w:val="1B474D"/>
          <w:sz w:val="20"/>
          <w:szCs w:val="20"/>
        </w:rPr>
        <w:t xml:space="preserve">Status:</w:t>
      </w:r>
      <w:r>
        <w:rPr>
          <w:rFonts w:ascii="Calibri" w:cs="Calibri" w:eastAsia="Calibri" w:hAnsi="Calibri"/>
          <w:color w:val="28251D"/>
          <w:sz w:val="20"/>
          <w:szCs w:val="20"/>
        </w:rPr>
        <w:t xml:space="preserve">  In Verhandlung — Telko-Ergebnis Frederik Schöning (Earlybird) vom 14.05.2026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500"/>
        <w:gridCol w:w="2800"/>
      </w:tblGrid>
      <w:tr>
        <w:tc>
          <w:tcPr>
            <w:tcW w:type="dxa" w:w="28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Parameter</w:t>
            </w:r>
          </w:p>
        </w:tc>
        <w:tc>
          <w:tcPr>
            <w:tcW w:type="dxa" w:w="25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Geplanter Wert</w:t>
            </w:r>
          </w:p>
        </w:tc>
        <w:tc>
          <w:tcPr>
            <w:tcW w:type="dxa" w:w="28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Kommentar</w:t>
            </w:r>
          </w:p>
        </w:tc>
      </w:tr>
      <w:tr>
        <w:tc>
          <w:tcPr>
            <w:tcW w:type="dxa" w:w="2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Darlehensbetrag</w:t>
            </w:r>
          </w:p>
        </w:tc>
        <w:tc>
          <w:tcPr>
            <w:tcW w:type="dxa" w:w="25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1.500.000,00 EUR</w:t>
            </w:r>
          </w:p>
        </w:tc>
        <w:tc>
          <w:tcPr>
            <w:tcW w:type="dxa" w:w="2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Als Alternative zu voller Tranche 2 oder Brücke bis Milestone-Nachweis</w:t>
            </w:r>
          </w:p>
        </w:tc>
      </w:tr>
      <w:tr>
        <w:tc>
          <w:tcPr>
            <w:tcW w:type="dxa" w:w="28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Darlehensgeber</w:t>
            </w:r>
          </w:p>
        </w:tc>
        <w:tc>
          <w:tcPr>
            <w:tcW w:type="dxa" w:w="25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Earlybird Venture Capital</w:t>
            </w:r>
          </w:p>
        </w:tc>
        <w:tc>
          <w:tcPr>
            <w:tcW w:type="dxa" w:w="28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Ggf. auch Investorenkonsortium (Earlybird + Cherry)</w:t>
            </w:r>
          </w:p>
        </w:tc>
      </w:tr>
      <w:tr>
        <w:tc>
          <w:tcPr>
            <w:tcW w:type="dxa" w:w="2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Zinssatz</w:t>
            </w:r>
          </w:p>
        </w:tc>
        <w:tc>
          <w:tcPr>
            <w:tcW w:type="dxa" w:w="25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6 % p.a.</w:t>
            </w:r>
          </w:p>
        </w:tc>
        <w:tc>
          <w:tcPr>
            <w:tcW w:type="dxa" w:w="2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Marktzinsniveau für VC-Wandeldarlehen (basierend auf Basel-III-Konventionen)</w:t>
            </w:r>
          </w:p>
        </w:tc>
      </w:tr>
      <w:tr>
        <w:tc>
          <w:tcPr>
            <w:tcW w:type="dxa" w:w="28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Laufzeit</w:t>
            </w:r>
          </w:p>
        </w:tc>
        <w:tc>
          <w:tcPr>
            <w:tcW w:type="dxa" w:w="25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max. 18 Monate</w:t>
            </w:r>
          </w:p>
        </w:tc>
        <w:tc>
          <w:tcPr>
            <w:tcW w:type="dxa" w:w="28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Endfälligkeit 30. November 2027</w:t>
            </w:r>
          </w:p>
        </w:tc>
      </w:tr>
      <w:tr>
        <w:tc>
          <w:tcPr>
            <w:tcW w:type="dxa" w:w="2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Wandlungsrecht</w:t>
            </w:r>
          </w:p>
        </w:tc>
        <w:tc>
          <w:tcPr>
            <w:tcW w:type="dxa" w:w="25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In neue GmbH-Anteile bei Folge-Finanzierungsrunde (Series B)</w:t>
            </w:r>
          </w:p>
        </w:tc>
        <w:tc>
          <w:tcPr>
            <w:tcW w:type="dxa" w:w="2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Wandlungspreis: Serie-B Pre-Money Valuation mit 20 % Discount</w:t>
            </w:r>
          </w:p>
        </w:tc>
      </w:tr>
      <w:tr>
        <w:tc>
          <w:tcPr>
            <w:tcW w:type="dxa" w:w="28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Wandlungsauslöser</w:t>
            </w:r>
          </w:p>
        </w:tc>
        <w:tc>
          <w:tcPr>
            <w:tcW w:type="dxa" w:w="25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Series B Closing, Exit-Event oder Ablauf Laufzeit</w:t>
            </w:r>
          </w:p>
        </w:tc>
        <w:tc>
          <w:tcPr>
            <w:tcW w:type="dxa" w:w="28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Rückzahlung bei Fälligkeit als Alternative</w:t>
            </w:r>
          </w:p>
        </w:tc>
      </w:tr>
      <w:tr>
        <w:tc>
          <w:tcPr>
            <w:tcW w:type="dxa" w:w="2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Rechtsdokumentation</w:t>
            </w:r>
          </w:p>
        </w:tc>
        <w:tc>
          <w:tcPr>
            <w:tcW w:type="dxa" w:w="25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Standardisierter german VC Wandeldarlehensvertrag (BVKAP-Muster)</w:t>
            </w:r>
          </w:p>
        </w:tc>
        <w:tc>
          <w:tcPr>
            <w:tcW w:type="dxa" w:w="2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Notarielle Beurkundung nicht erforderlich (GmbH &lt; 25 T EUR Betrag)</w:t>
            </w:r>
          </w:p>
        </w:tc>
      </w:tr>
      <w:tr>
        <w:tc>
          <w:tcPr>
            <w:tcW w:type="dxa" w:w="28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Zeitplan</w:t>
            </w:r>
          </w:p>
        </w:tc>
        <w:tc>
          <w:tcPr>
            <w:tcW w:type="dxa" w:w="25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Unterschriftsreif bis 15. Juni 2026</w:t>
            </w:r>
          </w:p>
        </w:tc>
        <w:tc>
          <w:tcPr>
            <w:tcW w:type="dxa" w:w="28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Term Sheet Wandeldarlehen bis 20.05.2026</w:t>
            </w:r>
          </w:p>
        </w:tc>
      </w:tr>
    </w:tbl>
    <w:p>
      <w:pPr>
        <w:spacing w:after="60" w:before="80"/>
      </w:pPr>
      <w:r>
        <w:rPr>
          <w:rFonts w:ascii="Calibri" w:cs="Calibri" w:eastAsia="Calibri" w:hAnsi="Calibri"/>
          <w:b/>
          <w:bCs/>
          <w:color w:val="1B474D"/>
          <w:sz w:val="20"/>
          <w:szCs w:val="20"/>
        </w:rPr>
        <w:t xml:space="preserve">Auswirkung auf Fortbestehensprognose:</w:t>
      </w:r>
    </w:p>
    <w:p>
      <w:pPr>
        <w:spacing w:after="80" w:before="40"/>
      </w:pPr>
      <w:r>
        <w:rPr>
          <w:rFonts w:ascii="Calibri" w:cs="Calibri" w:eastAsia="Calibri" w:hAnsi="Calibri"/>
          <w:color w:val="28251D"/>
          <w:sz w:val="20"/>
          <w:szCs w:val="20"/>
        </w:rPr>
        <w:t xml:space="preserve">Bei Unterzeichnung des Wandeldarlehens mit verbindlichem Auszahlungsdatum wäre die Fortbestehensprognose bis mindestens Ende Q1 2027 positiv (1.870.000 + 1.500.000 = 3.370.000 EUR = ca. 8,9 Monate Cash-Runway). Eine positive Fortbestehensprognose § 19 Abs. 2 InsO wäre in diesem Fall mit hoher Wahrscheinlichkeit begründbar.</w:t>
      </w:r>
    </w:p>
    <w:p>
      <w:pPr>
        <w:pStyle w:val="Heading3"/>
      </w:pPr>
      <w:r>
        <w:rPr>
          <w:b/>
          <w:bCs/>
          <w:color w:val="1B474D"/>
        </w:rPr>
        <w:t xml:space="preserve">2.2  Personalplan-Anpassung (Senior-Sales-Hire-Stopp)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2500"/>
        <w:gridCol w:w="2000"/>
        <w:gridCol w:w="1800"/>
      </w:tblGrid>
      <w:tr>
        <w:tc>
          <w:tcPr>
            <w:tcW w:type="dxa" w:w="30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Maßnahme</w:t>
            </w:r>
          </w:p>
        </w:tc>
        <w:tc>
          <w:tcPr>
            <w:tcW w:type="dxa" w:w="25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Einsparung p.a.</w:t>
            </w:r>
          </w:p>
        </w:tc>
        <w:tc>
          <w:tcPr>
            <w:tcW w:type="dxa" w:w="20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Umsetzungszeitraum</w:t>
            </w:r>
          </w:p>
        </w:tc>
        <w:tc>
          <w:tcPr>
            <w:tcW w:type="dxa" w:w="18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Risiko</w:t>
            </w:r>
          </w:p>
        </w:tc>
      </w:tr>
      <w:tr>
        <w:tc>
          <w:tcPr>
            <w:tcW w:type="dxa" w:w="30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Kein Hire Senior Sales Executive (war für Juni 2026 geplant)</w:t>
            </w:r>
          </w:p>
        </w:tc>
        <w:tc>
          <w:tcPr>
            <w:tcW w:type="dxa" w:w="25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+130.000,00 EUR Brutto + 22 % AG-Anteil = 158.600,00 EUR p.a.</w:t>
            </w:r>
          </w:p>
        </w:tc>
        <w:tc>
          <w:tcPr>
            <w:tcW w:type="dxa" w:w="20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Sofortig (Freeze ab 05.05.2026)</w:t>
            </w:r>
          </w:p>
        </w:tc>
        <w:tc>
          <w:tcPr>
            <w:tcW w:type="dxa" w:w="1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Wachstumsverlangsamung Sales möglich</w:t>
            </w:r>
          </w:p>
        </w:tc>
      </w:tr>
      <w:tr>
        <w:tc>
          <w:tcPr>
            <w:tcW w:type="dxa" w:w="30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Kein Hire Junior CS Manager (war für August 2026 geplant)</w:t>
            </w:r>
          </w:p>
        </w:tc>
        <w:tc>
          <w:tcPr>
            <w:tcW w:type="dxa" w:w="25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+70.000,00 EUR Brutto + 22 % = 85.400,00 EUR p.a.</w:t>
            </w:r>
          </w:p>
        </w:tc>
        <w:tc>
          <w:tcPr>
            <w:tcW w:type="dxa" w:w="20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Sofortig</w:t>
            </w:r>
          </w:p>
        </w:tc>
        <w:tc>
          <w:tcPr>
            <w:tcW w:type="dxa" w:w="18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Höhere CS-Last auf bestehendes Team</w:t>
            </w:r>
          </w:p>
        </w:tc>
      </w:tr>
      <w:tr>
        <w:tc>
          <w:tcPr>
            <w:tcW w:type="dxa" w:w="30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Verschiebung Werkstudenten-Headcount (1 FTE → 0,5)</w:t>
            </w:r>
          </w:p>
        </w:tc>
        <w:tc>
          <w:tcPr>
            <w:tcW w:type="dxa" w:w="25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+7.200,00 EUR p.a.</w:t>
            </w:r>
          </w:p>
        </w:tc>
        <w:tc>
          <w:tcPr>
            <w:tcW w:type="dxa" w:w="20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Ab Juni 2026</w:t>
            </w:r>
          </w:p>
        </w:tc>
        <w:tc>
          <w:tcPr>
            <w:tcW w:type="dxa" w:w="1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Gering</w:t>
            </w:r>
          </w:p>
        </w:tc>
      </w:tr>
      <w:tr>
        <w:tc>
          <w:tcPr>
            <w:tcW w:type="dxa" w:w="30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Verzicht auf externe Konferenzauftritte H2 2026</w:t>
            </w:r>
          </w:p>
        </w:tc>
        <w:tc>
          <w:tcPr>
            <w:tcW w:type="dxa" w:w="25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+12.000,00 EUR (Marketing)</w:t>
            </w:r>
          </w:p>
        </w:tc>
        <w:tc>
          <w:tcPr>
            <w:tcW w:type="dxa" w:w="20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Ab sofort</w:t>
            </w:r>
          </w:p>
        </w:tc>
        <w:tc>
          <w:tcPr>
            <w:tcW w:type="dxa" w:w="18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Sichtbarkeitsreduktion minimal</w:t>
            </w:r>
          </w:p>
        </w:tc>
      </w:tr>
      <w:tr>
        <w:tc>
          <w:tcPr>
            <w:tcW w:type="dxa" w:w="30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GESAMT KOSTENEINSPARUNG p.a.</w:t>
            </w:r>
          </w:p>
        </w:tc>
        <w:tc>
          <w:tcPr>
            <w:tcW w:type="dxa" w:w="25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ca. +263.200,00 EUR / ca. 21.933,00 EUR/Monat</w:t>
            </w:r>
          </w:p>
        </w:tc>
        <w:tc>
          <w:tcPr>
            <w:tcW w:type="dxa" w:w="20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/>
            </w:r>
          </w:p>
        </w:tc>
      </w:tr>
    </w:tbl>
    <w:p>
      <w:pPr>
        <w:pStyle w:val="Heading3"/>
      </w:pPr>
      <w:r>
        <w:rPr>
          <w:b/>
          <w:bCs/>
          <w:color w:val="1B474D"/>
        </w:rPr>
        <w:t xml:space="preserve">2.3  Forderungsmanagement — Jahresvoraus-Zahlungen</w:t>
      </w:r>
    </w:p>
    <w:p>
      <w:pPr>
        <w:spacing w:after="80" w:before="80"/>
      </w:pPr>
      <w:r>
        <w:rPr>
          <w:rFonts w:ascii="Calibri" w:cs="Calibri" w:eastAsia="Calibri" w:hAnsi="Calibri"/>
          <w:b/>
          <w:bCs/>
          <w:color w:val="1B474D"/>
          <w:sz w:val="20"/>
          <w:szCs w:val="20"/>
        </w:rPr>
        <w:t xml:space="preserve">Status:</w:t>
      </w:r>
      <w:r>
        <w:rPr>
          <w:rFonts w:ascii="Calibri" w:cs="Calibri" w:eastAsia="Calibri" w:hAnsi="Calibri"/>
          <w:color w:val="28251D"/>
          <w:sz w:val="20"/>
          <w:szCs w:val="20"/>
        </w:rPr>
        <w:t xml:space="preserve">  In Vorbereitung — Ansprache von 5 Großkunden mit Jahresvolumen &gt; 36.000 EUR / Jahr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700"/>
        <w:gridCol w:w="1600"/>
        <w:gridCol w:w="1800"/>
        <w:gridCol w:w="2200"/>
        <w:gridCol w:w="2000"/>
      </w:tblGrid>
      <w:tr>
        <w:tc>
          <w:tcPr>
            <w:tcW w:type="dxa" w:w="27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Großkunde (anonymisiert)</w:t>
            </w:r>
          </w:p>
        </w:tc>
        <w:tc>
          <w:tcPr>
            <w:tcW w:type="dxa" w:w="16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MRR bisher</w:t>
            </w:r>
          </w:p>
        </w:tc>
        <w:tc>
          <w:tcPr>
            <w:tcW w:type="dxa" w:w="18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Jahresvolumen</w:t>
            </w:r>
          </w:p>
        </w:tc>
        <w:tc>
          <w:tcPr>
            <w:tcW w:type="dxa" w:w="22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Ziel: Voraus-Zahlung</w:t>
            </w:r>
          </w:p>
        </w:tc>
        <w:tc>
          <w:tcPr>
            <w:tcW w:type="dxa" w:w="20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Rabatt-Angebot</w:t>
            </w:r>
          </w:p>
        </w:tc>
      </w:tr>
      <w:tr>
        <w:tc>
          <w:tcPr>
            <w:tcW w:type="dxa" w:w="27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GK-001 (Steuerberatungs-Verbund, 80 User)</w:t>
            </w:r>
          </w:p>
        </w:tc>
        <w:tc>
          <w:tcPr>
            <w:tcW w:type="dxa" w:w="16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3.600 EUR/Mo</w:t>
            </w:r>
          </w:p>
        </w:tc>
        <w:tc>
          <w:tcPr>
            <w:tcW w:type="dxa" w:w="1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43.200 EUR</w:t>
            </w:r>
          </w:p>
        </w:tc>
        <w:tc>
          <w:tcPr>
            <w:tcW w:type="dxa" w:w="22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Jahresvoraus bis 15.06.</w:t>
            </w:r>
          </w:p>
        </w:tc>
        <w:tc>
          <w:tcPr>
            <w:tcW w:type="dxa" w:w="20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5 % (= 2.160 EUR Rabatt)</w:t>
            </w:r>
          </w:p>
        </w:tc>
      </w:tr>
      <w:tr>
        <w:tc>
          <w:tcPr>
            <w:tcW w:type="dxa" w:w="27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GK-002 (Wirtschaftsprüfungsges., 150 User)</w:t>
            </w:r>
          </w:p>
        </w:tc>
        <w:tc>
          <w:tcPr>
            <w:tcW w:type="dxa" w:w="16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6.800 EUR/Mo</w:t>
            </w:r>
          </w:p>
        </w:tc>
        <w:tc>
          <w:tcPr>
            <w:tcW w:type="dxa" w:w="18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81.600 EUR</w:t>
            </w:r>
          </w:p>
        </w:tc>
        <w:tc>
          <w:tcPr>
            <w:tcW w:type="dxa" w:w="22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Jahresvoraus bis 30.06.</w:t>
            </w:r>
          </w:p>
        </w:tc>
        <w:tc>
          <w:tcPr>
            <w:tcW w:type="dxa" w:w="20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5 % (= 4.080 EUR Rabatt)</w:t>
            </w:r>
          </w:p>
        </w:tc>
      </w:tr>
      <w:tr>
        <w:tc>
          <w:tcPr>
            <w:tcW w:type="dxa" w:w="27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GK-003 (Großkanzlei, 220 User)</w:t>
            </w:r>
          </w:p>
        </w:tc>
        <w:tc>
          <w:tcPr>
            <w:tcW w:type="dxa" w:w="16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9.200 EUR/Mo</w:t>
            </w:r>
          </w:p>
        </w:tc>
        <w:tc>
          <w:tcPr>
            <w:tcW w:type="dxa" w:w="1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110.400 EUR</w:t>
            </w:r>
          </w:p>
        </w:tc>
        <w:tc>
          <w:tcPr>
            <w:tcW w:type="dxa" w:w="22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Jahresvoraus bis 30.06.</w:t>
            </w:r>
          </w:p>
        </w:tc>
        <w:tc>
          <w:tcPr>
            <w:tcW w:type="dxa" w:w="20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7 % (= 7.728 EUR Rabatt)</w:t>
            </w:r>
          </w:p>
        </w:tc>
      </w:tr>
      <w:tr>
        <w:tc>
          <w:tcPr>
            <w:tcW w:type="dxa" w:w="27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GK-004 (Kanzlei-Netzwerk, 120 User)</w:t>
            </w:r>
          </w:p>
        </w:tc>
        <w:tc>
          <w:tcPr>
            <w:tcW w:type="dxa" w:w="16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5.100 EUR/Mo</w:t>
            </w:r>
          </w:p>
        </w:tc>
        <w:tc>
          <w:tcPr>
            <w:tcW w:type="dxa" w:w="18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61.200 EUR</w:t>
            </w:r>
          </w:p>
        </w:tc>
        <w:tc>
          <w:tcPr>
            <w:tcW w:type="dxa" w:w="22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Jahresvoraus bis 15.07.</w:t>
            </w:r>
          </w:p>
        </w:tc>
        <w:tc>
          <w:tcPr>
            <w:tcW w:type="dxa" w:w="20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5 % (= 3.060 EUR Rabatt)</w:t>
            </w:r>
          </w:p>
        </w:tc>
      </w:tr>
      <w:tr>
        <w:tc>
          <w:tcPr>
            <w:tcW w:type="dxa" w:w="27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GK-005 (LegalTech-Berater, 45 User)</w:t>
            </w:r>
          </w:p>
        </w:tc>
        <w:tc>
          <w:tcPr>
            <w:tcW w:type="dxa" w:w="16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1.900 EUR/Mo</w:t>
            </w:r>
          </w:p>
        </w:tc>
        <w:tc>
          <w:tcPr>
            <w:tcW w:type="dxa" w:w="18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22.800 EUR</w:t>
            </w:r>
          </w:p>
        </w:tc>
        <w:tc>
          <w:tcPr>
            <w:tcW w:type="dxa" w:w="22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Jahresvoraus bis 30.06.</w:t>
            </w:r>
          </w:p>
        </w:tc>
        <w:tc>
          <w:tcPr>
            <w:tcW w:type="dxa" w:w="20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0 % (loyal, kein Rabatt)</w:t>
            </w:r>
          </w:p>
        </w:tc>
      </w:tr>
      <w:tr>
        <w:tc>
          <w:tcPr>
            <w:tcW w:type="dxa" w:w="27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POTENZIAL GESAMT</w:t>
            </w:r>
          </w:p>
        </w:tc>
        <w:tc>
          <w:tcPr>
            <w:tcW w:type="dxa" w:w="16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319.200 EUR</w:t>
            </w:r>
          </w:p>
        </w:tc>
        <w:tc>
          <w:tcPr>
            <w:tcW w:type="dxa" w:w="22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Max. 319.200 EUR Liquiditätszufluss</w:t>
            </w:r>
          </w:p>
        </w:tc>
        <w:tc>
          <w:tcPr>
            <w:tcW w:type="dxa" w:w="20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Max. 17.028 EUR Rabatt-Kosten</w:t>
            </w:r>
          </w:p>
        </w:tc>
      </w:tr>
    </w:tbl>
    <w:p>
      <w:pPr>
        <w:spacing w:after="120"/>
      </w:pPr>
    </w:p>
    <w:p>
      <w:pPr>
        <w:pStyle w:val="Heading2"/>
      </w:pPr>
      <w:r>
        <w:rPr>
          <w:b/>
          <w:bCs/>
          <w:color w:val="1B474D"/>
        </w:rPr>
        <w:t xml:space="preserve">3. GESAMTBEWERTUNG UND FORTBESTEHENSPROGNOSE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2500"/>
        <w:gridCol w:w="2000"/>
        <w:gridCol w:w="2300"/>
      </w:tblGrid>
      <w:tr>
        <w:tc>
          <w:tcPr>
            <w:tcW w:type="dxa" w:w="30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Szenario</w:t>
            </w:r>
          </w:p>
        </w:tc>
        <w:tc>
          <w:tcPr>
            <w:tcW w:type="dxa" w:w="25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Cash-Position August 2026</w:t>
            </w:r>
          </w:p>
        </w:tc>
        <w:tc>
          <w:tcPr>
            <w:tcW w:type="dxa" w:w="20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Cash-Runway</w:t>
            </w:r>
          </w:p>
        </w:tc>
        <w:tc>
          <w:tcPr>
            <w:tcW w:type="dxa" w:w="2300"/>
            <w:shd w:fill="1B474D" w:color="1B474D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Fortbestehensprognose</w:t>
            </w:r>
          </w:p>
        </w:tc>
      </w:tr>
      <w:tr>
        <w:tc>
          <w:tcPr>
            <w:tcW w:type="dxa" w:w="30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Base Case (Tranche 2 vollständig August 2026)</w:t>
            </w:r>
          </w:p>
        </w:tc>
        <w:tc>
          <w:tcPr>
            <w:tcW w:type="dxa" w:w="25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~4.600.000 EUR</w:t>
            </w:r>
          </w:p>
        </w:tc>
        <w:tc>
          <w:tcPr>
            <w:tcW w:type="dxa" w:w="20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12+ Monate</w:t>
            </w:r>
          </w:p>
        </w:tc>
        <w:tc>
          <w:tcPr>
            <w:tcW w:type="dxa" w:w="23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POSITIV — § 19 InsO erfüllt</w:t>
            </w:r>
          </w:p>
        </w:tc>
      </w:tr>
      <w:tr>
        <w:tc>
          <w:tcPr>
            <w:tcW w:type="dxa" w:w="30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Mid Case (Wandeldarlehen 1,5 Mio + Kostensenkung)</w:t>
            </w:r>
          </w:p>
        </w:tc>
        <w:tc>
          <w:tcPr>
            <w:tcW w:type="dxa" w:w="25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~3.100.000 EUR</w:t>
            </w:r>
          </w:p>
        </w:tc>
        <w:tc>
          <w:tcPr>
            <w:tcW w:type="dxa" w:w="20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8-10 Monate</w:t>
            </w:r>
          </w:p>
        </w:tc>
        <w:tc>
          <w:tcPr>
            <w:tcW w:type="dxa" w:w="2300"/>
            <w:shd w:fill="F9F8F5" w:color="F9F8F5" w:val="clear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POSITIV — grenzwertig, Dokumentation erforderlich</w:t>
            </w:r>
          </w:p>
        </w:tc>
      </w:tr>
      <w:tr>
        <w:tc>
          <w:tcPr>
            <w:tcW w:type="dxa" w:w="30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Stress Case (Tranche 2 verzögert, kein WD)</w:t>
            </w:r>
          </w:p>
        </w:tc>
        <w:tc>
          <w:tcPr>
            <w:tcW w:type="dxa" w:w="25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~240.000 EUR</w:t>
            </w:r>
          </w:p>
        </w:tc>
        <w:tc>
          <w:tcPr>
            <w:tcW w:type="dxa" w:w="20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&lt; 1 Monat</w:t>
            </w:r>
          </w:p>
        </w:tc>
        <w:tc>
          <w:tcPr>
            <w:tcW w:type="dxa" w:w="2300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18"/>
                <w:szCs w:val="18"/>
              </w:rPr>
              <w:t xml:space="preserve">NEGATIV — Insolvenzantragspflicht § 15a InsO prüfen</w:t>
            </w:r>
          </w:p>
        </w:tc>
      </w:tr>
    </w:tbl>
    <w:p>
      <w:pPr>
        <w:spacing w:after="80" w:before="160"/>
      </w:pPr>
      <w:r>
        <w:rPr>
          <w:rFonts w:ascii="Calibri" w:cs="Calibri" w:eastAsia="Calibri" w:hAnsi="Calibri"/>
          <w:b/>
          <w:bCs/>
          <w:color w:val="1B474D"/>
          <w:sz w:val="22"/>
          <w:szCs w:val="22"/>
        </w:rPr>
        <w:t xml:space="preserve">Handlungsempfehlung der Geschäftsführung:</w:t>
      </w:r>
    </w:p>
    <w:p>
      <w:pPr>
        <w:spacing w:after="60" w:before="60"/>
      </w:pPr>
      <w:r>
        <w:rPr>
          <w:rFonts w:ascii="Calibri" w:cs="Calibri" w:eastAsia="Calibri" w:hAnsi="Calibri"/>
          <w:color w:val="28251D"/>
          <w:sz w:val="20"/>
          <w:szCs w:val="20"/>
        </w:rPr>
        <w:t xml:space="preserve">1.  Abschluss Term Sheet Wandeldarlehen bis 20.05.2026 (Earlybird).</w:t>
      </w:r>
    </w:p>
    <w:p>
      <w:pPr>
        <w:spacing w:after="60" w:before="60"/>
      </w:pPr>
      <w:r>
        <w:rPr>
          <w:rFonts w:ascii="Calibri" w:cs="Calibri" w:eastAsia="Calibri" w:hAnsi="Calibri"/>
          <w:color w:val="28251D"/>
          <w:sz w:val="20"/>
          <w:szCs w:val="20"/>
        </w:rPr>
        <w:t xml:space="preserve">2.  Ansprache aller 5 Großkunden Jahresvoraus-Zahlung bis 10.05.2026.</w:t>
      </w:r>
    </w:p>
    <w:p>
      <w:pPr>
        <w:spacing w:after="60" w:before="60"/>
      </w:pPr>
      <w:r>
        <w:rPr>
          <w:rFonts w:ascii="Calibri" w:cs="Calibri" w:eastAsia="Calibri" w:hAnsi="Calibri"/>
          <w:color w:val="28251D"/>
          <w:sz w:val="20"/>
          <w:szCs w:val="20"/>
        </w:rPr>
        <w:t xml:space="preserve">3.  Formale Fortbestehensprognose § 19 InsO bis 20.05.2026 durch Steuerberaterin KMK.</w:t>
      </w:r>
    </w:p>
    <w:p>
      <w:pPr>
        <w:spacing w:after="60" w:before="60"/>
      </w:pPr>
      <w:r>
        <w:rPr>
          <w:rFonts w:ascii="Calibri" w:cs="Calibri" w:eastAsia="Calibri" w:hAnsi="Calibri"/>
          <w:color w:val="28251D"/>
          <w:sz w:val="20"/>
          <w:szCs w:val="20"/>
        </w:rPr>
        <w:t xml:space="preserve">4.  Freeze aller nicht-kritischen Neueinstellungen bis Tranche-2-Abruf.</w:t>
      </w:r>
    </w:p>
    <w:p>
      <w:pPr>
        <w:spacing w:after="160" w:before="60"/>
      </w:pPr>
      <w:r>
        <w:rPr>
          <w:rFonts w:ascii="Calibri" w:cs="Calibri" w:eastAsia="Calibri" w:hAnsi="Calibri"/>
          <w:color w:val="28251D"/>
          <w:sz w:val="20"/>
          <w:szCs w:val="20"/>
        </w:rPr>
        <w:t xml:space="preserve">5.  Monatliches Reporting an Gesellschafter-Ausschuss bis Liquiditätssituation geklärt.</w:t>
      </w:r>
    </w:p>
    <w:p>
      <w:pPr>
        <w:spacing w:after="160"/>
      </w:pPr>
      <w:r>
        <w:rPr>
          <w:rFonts w:ascii="Calibri" w:cs="Calibri" w:eastAsia="Calibri" w:hAnsi="Calibri"/>
          <w:color w:val="1B474D"/>
          <w:sz w:val="14"/>
          <w:szCs w:val="14"/>
        </w:rPr>
        <w:t xml:space="preserve"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80" w:before="80"/>
      </w:pPr>
      <w:r>
        <w:rPr>
          <w:rFonts w:ascii="Calibri" w:cs="Calibri" w:eastAsia="Calibri" w:hAnsi="Calibri"/>
          <w:color w:val="28251D"/>
          <w:sz w:val="20"/>
          <w:szCs w:val="20"/>
        </w:rPr>
        <w:t xml:space="preserve">Berlin, den 2. Mai 2026</w:t>
      </w:r>
    </w:p>
    <w:p>
      <w:pPr>
        <w:spacing w:after="40" w:before="80"/>
      </w:pPr>
      <w:r>
        <w:rPr>
          <w:rFonts w:ascii="Calibri" w:cs="Calibri" w:eastAsia="Calibri" w:hAnsi="Calibri"/>
          <w:color w:val="28251D"/>
          <w:sz w:val="20"/>
          <w:szCs w:val="20"/>
        </w:rPr>
        <w:t xml:space="preserve">___________________________________          ___________________________________</w:t>
      </w:r>
    </w:p>
    <w:p>
      <w:pPr>
        <w:spacing w:after="20" w:before="20"/>
      </w:pPr>
      <w:r>
        <w:rPr>
          <w:rFonts w:ascii="Calibri" w:cs="Calibri" w:eastAsia="Calibri" w:hAnsi="Calibri"/>
          <w:b/>
          <w:bCs/>
          <w:color w:val="28251D"/>
          <w:sz w:val="20"/>
          <w:szCs w:val="20"/>
        </w:rPr>
        <w:t xml:space="preserve">Dr. Carolin Vogt-Hesselbach                    Yannik Brodersen</w:t>
      </w:r>
    </w:p>
    <w:p>
      <w:pPr>
        <w:spacing w:after="80" w:before="20"/>
      </w:pPr>
      <w:r>
        <w:rPr>
          <w:rFonts w:ascii="Calibri" w:cs="Calibri" w:eastAsia="Calibri" w:hAnsi="Calibri"/>
          <w:color w:val="7A7974"/>
          <w:sz w:val="18"/>
          <w:szCs w:val="18"/>
        </w:rPr>
        <w:t xml:space="preserve">Geschäftsführerin                              Geschäftsführer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Sanierungsbausteine Memo Q2 2026 — Paragrafix GmbH</dc:title>
  <dc:creator>Perplexity Computer</dc:creator>
  <dc:description>Internes Memo Sanierungsbausteine Q2 2026 — Dr. Vogt-Hesselbach an Aufsichtsrat</dc:description>
  <cp:lastModifiedBy>Un-named</cp:lastModifiedBy>
  <cp:revision>1</cp:revision>
  <dcterms:created xsi:type="dcterms:W3CDTF">2026-05-20T10:05:09.252Z</dcterms:created>
  <dcterms:modified xsi:type="dcterms:W3CDTF">2026-05-20T10:05:09.252Z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