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AML-Compliance-Roadmap</w:t>
      </w:r>
    </w:p>
    <w:p>
      <w:r>
        <w:rPr>
          <w:rFonts w:ascii="Arial" w:cs="Arial" w:eastAsia="Arial" w:hAnsi="Arial"/>
          <w:sz w:val="22"/>
          <w:szCs w:val="22"/>
        </w:rPr>
        <w:t xml:space="preserve">Kanzlei Sandhof &amp; Partner — Norderstedt</w:t>
      </w:r>
    </w:p>
    <w:p>
      <w:r>
        <w:rPr>
          <w:rFonts w:ascii="Arial" w:cs="Arial" w:eastAsia="Arial" w:hAnsi="Arial"/>
          <w:sz w:val="22"/>
          <w:szCs w:val="22"/>
        </w:rPr>
        <w:t xml:space="preserve">Erstellt: April 2026 | Bearbeiterin: RAin Dr. J. Reimers</w:t>
      </w:r>
    </w:p>
    <w:p>
      <w:r>
        <w:t xml:space="preserve"/>
      </w: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Ausgangslage</w:t>
      </w:r>
    </w:p>
    <w:p>
      <w:r>
        <w:rPr>
          <w:rFonts w:ascii="Arial" w:cs="Arial" w:eastAsia="Arial" w:hAnsi="Arial"/>
          <w:sz w:val="22"/>
          <w:szCs w:val="22"/>
        </w:rPr>
        <w:t xml:space="preserve">Die Kanzlei Sandhof &amp; Partner hat infolge der laufenden Verfahren (StA Kiel, BaFin, RAK Hamburg) sofortige und umfassende Compliance-Maßnahmen eingeleitet. Diese Roadmap dokumentiert den Stand der Maßnahmen und den weiteren Zeitplan.</w:t>
      </w:r>
    </w:p>
    <w:p>
      <w:r>
        <w:t xml:space="preserve"/>
      </w: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Sofortmassnahmen (April 2026)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4000"/>
        <w:gridCol w:w="2500"/>
      </w:tblGrid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474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Maßnahme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474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Beschreibung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474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Status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AML-Officer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RAin Dr. Brünninghausen bestellt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Abgeschlossen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Sanktionsscreening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LexisNexis World Compliance — Vertrag unterzeichnet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Abgeschlossen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KYC-Checkliste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Notfall-Checkliste verteilt an alle 22 Anwälte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Abgeschlossen</w:t>
            </w:r>
          </w:p>
        </w:tc>
      </w:tr>
    </w:tbl>
    <w:p>
      <w:r>
        <w:t xml:space="preserve"/>
      </w: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Kurzfristige Massnahmen (Mai–Juni 2026)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4000"/>
        <w:gridCol w:w="2500"/>
      </w:tblGrid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474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Maßnahme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474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Beschreibung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474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Frist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Risikoanalyse § 5 GwG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Neue Analyse durch externen AML-Consultant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15.06.2026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Mitarbeiterschulung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Ganztägige Pflichtschulung aller Anwälte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14.05.2026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Mandatsannahme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Überarbeitung Mandatsannahmeprozess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30.06.2026</w:t>
            </w:r>
          </w:p>
        </w:tc>
      </w:tr>
    </w:tbl>
    <w:p>
      <w:r>
        <w:t xml:space="preserve"/>
      </w: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Mittelfristige Massnahmen (Juli–September 2026)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4000"/>
        <w:gridCol w:w="2500"/>
      </w:tblGrid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474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Maßnahme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474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Beschreibung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474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Frist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Internes Meldesystem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Einführung HinSchG-konformes Whistleblower-System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31.07.2026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Jährliche Prüfung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Partnerkonferenzbeschluss zur jährl. Risikoanalyse-Prüfung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31.08.2026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Retrospektive KYC-Prüfung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Überprüfung 12–15 laufender Offshore-Mandate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30.09.2026</w:t>
            </w:r>
          </w:p>
        </w:tc>
      </w:tr>
    </w:tbl>
    <w:p>
      <w:r>
        <w:t xml:space="preserve"/>
      </w: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Kostenübersicht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0"/>
        <w:gridCol w:w="4000"/>
      </w:tblGrid>
      <w:tr>
        <w:tc>
          <w:tcPr>
            <w:tcW w:type="dxa" w:w="4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474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Position</w:t>
            </w:r>
          </w:p>
        </w:tc>
        <w:tc>
          <w:tcPr>
            <w:tcW w:type="dxa" w:w="4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474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Kosten (EUR)</w:t>
            </w:r>
          </w:p>
        </w:tc>
      </w:tr>
      <w:tr>
        <w:tc>
          <w:tcPr>
            <w:tcW w:type="dxa" w:w="4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Sanktionsscreening-Tool (1 Jahr)</w:t>
            </w:r>
          </w:p>
        </w:tc>
        <w:tc>
          <w:tcPr>
            <w:tcW w:type="dxa" w:w="4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8.500</w:t>
            </w:r>
          </w:p>
        </w:tc>
      </w:tr>
      <w:tr>
        <w:tc>
          <w:tcPr>
            <w:tcW w:type="dxa" w:w="4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Externe Risikoanalyse</w:t>
            </w:r>
          </w:p>
        </w:tc>
        <w:tc>
          <w:tcPr>
            <w:tcW w:type="dxa" w:w="4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12.000</w:t>
            </w:r>
          </w:p>
        </w:tc>
      </w:tr>
      <w:tr>
        <w:tc>
          <w:tcPr>
            <w:tcW w:type="dxa" w:w="4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Schulung</w:t>
            </w:r>
          </w:p>
        </w:tc>
        <w:tc>
          <w:tcPr>
            <w:tcW w:type="dxa" w:w="4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4.500</w:t>
            </w:r>
          </w:p>
        </w:tc>
      </w:tr>
      <w:tr>
        <w:tc>
          <w:tcPr>
            <w:tcW w:type="dxa" w:w="4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Rechtsberatung Compliance</w:t>
            </w:r>
          </w:p>
        </w:tc>
        <w:tc>
          <w:tcPr>
            <w:tcW w:type="dxa" w:w="4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15.000</w:t>
            </w:r>
          </w:p>
        </w:tc>
      </w:tr>
      <w:tr>
        <w:tc>
          <w:tcPr>
            <w:tcW w:type="dxa" w:w="4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Interne Arbeitszeit</w:t>
            </w:r>
          </w:p>
        </w:tc>
        <w:tc>
          <w:tcPr>
            <w:tcW w:type="dxa" w:w="4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10.000</w:t>
            </w:r>
          </w:p>
        </w:tc>
      </w:tr>
      <w:tr>
        <w:tc>
          <w:tcPr>
            <w:tcW w:type="dxa" w:w="4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Gesamt (geschätzt)</w:t>
            </w:r>
          </w:p>
        </w:tc>
        <w:tc>
          <w:tcPr>
            <w:tcW w:type="dxa" w:w="4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ca. 50.000</w:t>
            </w:r>
          </w:p>
        </w:tc>
      </w:tr>
    </w:tbl>
    <w:p>
      <w: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Quellen: GwG § 5 auf dejure.org (https://dejure.org/gesetze/GwG/5.html); HinSchG auf dejure.org (https://dejure.org/gesetze/HinSchG).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18"/>
        <w:szCs w:val="18"/>
      </w:rPr>
      <w:t xml:space="preserve">Seite </w:t>
    </w:r>
    <w:r>
      <w:rPr>
        <w:rFonts w:ascii="Arial" w:cs="Arial" w:eastAsia="Arial" w:hAnsi="Arial"/>
        <w:sz w:val="18"/>
        <w:szCs w:val="18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888888"/>
        <w:sz w:val="18"/>
        <w:szCs w:val="18"/>
      </w:rPr>
      <w:t xml:space="preserve">AML-Compliance-Roadmap — Sandhof &amp; Partner — Vertraulich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40" w:before="280"/>
      <w:outlineLvl w:val="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10" w:before="220"/>
      <w:outlineLvl w:val="1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2026-05-30T18:09:43.024Z</dcterms:created>
  <dcterms:modified xsi:type="dcterms:W3CDTF">2026-05-30T18:09:43.024Z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