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Stellungnahme zum BaFin-Anhörungsschreiben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An die</w:t>
      </w:r>
    </w:p>
    <w:p>
      <w:r>
        <w:rPr>
          <w:rFonts w:ascii="Arial" w:cs="Arial" w:eastAsia="Arial" w:hAnsi="Arial"/>
          <w:sz w:val="22"/>
          <w:szCs w:val="22"/>
        </w:rPr>
        <w:t xml:space="preserve">Bundesanstalt für Finanzdienstleistungsaufsicht (BaFin)</w:t>
      </w:r>
    </w:p>
    <w:p>
      <w:r>
        <w:rPr>
          <w:rFonts w:ascii="Arial" w:cs="Arial" w:eastAsia="Arial" w:hAnsi="Arial"/>
          <w:sz w:val="22"/>
          <w:szCs w:val="22"/>
        </w:rPr>
        <w:t xml:space="preserve">Referat Geldwäscheprävention</w:t>
      </w:r>
    </w:p>
    <w:p>
      <w:r>
        <w:rPr>
          <w:rFonts w:ascii="Arial" w:cs="Arial" w:eastAsia="Arial" w:hAnsi="Arial"/>
          <w:sz w:val="22"/>
          <w:szCs w:val="22"/>
        </w:rPr>
        <w:t xml:space="preserve">Marie-Curie-Straße 24–28</w:t>
      </w:r>
    </w:p>
    <w:p>
      <w:r>
        <w:rPr>
          <w:rFonts w:ascii="Arial" w:cs="Arial" w:eastAsia="Arial" w:hAnsi="Arial"/>
          <w:sz w:val="22"/>
          <w:szCs w:val="22"/>
        </w:rPr>
        <w:t xml:space="preserve">60439 Frankfurt am Main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Az.: BaFin-GwG-2026-084-NH</w:t>
      </w:r>
    </w:p>
    <w:p>
      <w:r>
        <w:rPr>
          <w:rFonts w:ascii="Arial" w:cs="Arial" w:eastAsia="Arial" w:hAnsi="Arial"/>
          <w:sz w:val="22"/>
          <w:szCs w:val="22"/>
        </w:rPr>
        <w:t xml:space="preserve">Datum: 29. April 2026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Sehr geehrte Damen und Herren,</w:t>
      </w:r>
    </w:p>
    <w:p>
      <w:r>
        <w:rPr>
          <w:rFonts w:ascii="Arial" w:cs="Arial" w:eastAsia="Arial" w:hAnsi="Arial"/>
          <w:sz w:val="22"/>
          <w:szCs w:val="22"/>
        </w:rPr>
        <w:t xml:space="preserve">namens und im Auftrag von Herrn Rechtsanwalt Friedrich-Wilhelm Sandhof, Rathausallee 17, 22846 Norderstedt, nehmen wir zu dem Anhörungsschreiben vom 08. März 2026 wie folgt Stellung: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I. Zu den erhobenen Vorwürfen</w:t>
      </w:r>
    </w:p>
    <w:p>
      <w:r>
        <w:rPr>
          <w:rFonts w:ascii="Arial" w:cs="Arial" w:eastAsia="Arial" w:hAnsi="Arial"/>
          <w:sz w:val="22"/>
          <w:szCs w:val="22"/>
        </w:rPr>
        <w:t xml:space="preserve">Wir räumen ein, dass in der Kanzlei Sandhof &amp; Partner im Zeitraum 2024–2025 Sorgfaltspflichten nach dem GwG in Bezug auf die Bearbeitung von vier Immobilientransaktionen auf Amrum nicht vollständig erfüllt wurden. Dieser Befund wird nicht in Abrede gestellt.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In Bezug auf den Vorwurf des Vorsatzes ist jedoch festzustellen: Der betroffene Rechtsanwalt Sandhof hatte zu keinem Zeitpunkt Kenntnis von der Identität des wirtschaftlich Berechtigten der Bluetail Holdings Ltd. als der auf der EU-Sanktionsliste geführten Person. Die interne Aktenführung belegt, dass Sandhof nicht der unmittelbare Sachbearbeiter der betroffenen Mandate war.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II. Organisationsverschulden und Systemfehler</w:t>
      </w:r>
    </w:p>
    <w:p>
      <w:r>
        <w:rPr>
          <w:rFonts w:ascii="Arial" w:cs="Arial" w:eastAsia="Arial" w:hAnsi="Arial"/>
          <w:sz w:val="22"/>
          <w:szCs w:val="22"/>
        </w:rPr>
        <w:t xml:space="preserve">Die festgestellten Mängel — fehlende Aktualisierung der Risikoanalyse seit 2019, unbesetzte AML-Officer-Stelle ab April 2025, fehlende Sanktionsscreenings — sind auf ein strukturelles Organisationsverschulden zurückzuführen, nicht auf individuelle Entscheidungen Sandhofs zur Umgehung gesetzlicher Pflichten.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III. Remediation-Maßnahmen</w:t>
      </w:r>
    </w:p>
    <w:p>
      <w:r>
        <w:rPr>
          <w:rFonts w:ascii="Arial" w:cs="Arial" w:eastAsia="Arial" w:hAnsi="Arial"/>
          <w:sz w:val="22"/>
          <w:szCs w:val="22"/>
        </w:rPr>
        <w:t xml:space="preserve">Unmittelbar nach Kenntnisnahme von den laufenden Verfahren hat die Kanzlei Sandhof &amp; Partner folgende Maßnahmen eingeleitet: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Bestellung von RAin Dr. Petra Brünninghausen als neuer AML-Beauftragter (22. April 2026)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Vertragsschluss LexisNexis World Compliance (Sanktionsscreening-Tool, 28. April 2026)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Versand einer Notfall-KYC-Checkliste an alle Kanzleimitarbeiter (25. April 2026)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Beauftragung eines externen AML-Consultants zur Erstellung einer neuen Risikoanalyse nach § 5 GwG (Fertigstellung geplant: 15. Juni 2026)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IV. Bitte um Bußgeldminderung</w:t>
      </w:r>
    </w:p>
    <w:p>
      <w:r>
        <w:rPr>
          <w:rFonts w:ascii="Arial" w:cs="Arial" w:eastAsia="Arial" w:hAnsi="Arial"/>
          <w:sz w:val="22"/>
          <w:szCs w:val="22"/>
        </w:rPr>
        <w:t xml:space="preserve">Wir beantragen, im Rahmen der Bußgeldzumessung die vollständige Kooperation der Kanzlei, die sofort eingeleiteten Remediation-Maßnahmen sowie die wirtschaftliche Leistungsfähigkeit einer mittelgroßen Anwaltskanzlei (kein Finanzinstitut) zu berücksichtigen. Der Verhältnismäßigkeitsgrundsatz (§ 4 Abs. 1 GwG i.V.m. § 17 Abs. 3 OWiG) gebietet eine erhebliche Reduktion des Bußgeldrahmens.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Mit freundlichen Grüßen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RA Dr. Henning Quasdorf</w:t>
      </w:r>
    </w:p>
    <w:p>
      <w:r>
        <w:rPr>
          <w:rFonts w:ascii="Arial" w:cs="Arial" w:eastAsia="Arial" w:hAnsi="Arial"/>
          <w:sz w:val="22"/>
          <w:szCs w:val="22"/>
        </w:rPr>
        <w:t xml:space="preserve">RAin Dr. Johanna Reimers</w:t>
      </w:r>
    </w:p>
    <w:p>
      <w:r>
        <w:rPr>
          <w:rFonts w:ascii="Arial" w:cs="Arial" w:eastAsia="Arial" w:hAnsi="Arial"/>
          <w:sz w:val="22"/>
          <w:szCs w:val="22"/>
        </w:rPr>
        <w:t xml:space="preserve">Quasdorf &amp; Reimers Rechtsanwälte PartG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Quellen: § 56 GwG auf dejure.org (https://dejure.org/gesetze/GwG/56.html); § 17 OWiG auf dejure.org (https://dejure.org/gesetze/OWiG/17.html).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18"/>
        <w:szCs w:val="18"/>
      </w:rPr>
      <w:t xml:space="preserve">Seite </w:t>
    </w:r>
    <w:r>
      <w:rPr>
        <w:rFonts w:ascii="Arial" w:cs="Arial" w:eastAsia="Arial" w:hAnsi="Arial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888888"/>
        <w:sz w:val="18"/>
        <w:szCs w:val="18"/>
      </w:rPr>
      <w:t xml:space="preserve">ENTWURF — Stellungnahme BaFin — Az. BaFin-GwG-2026-084-NH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40" w:before="28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10" w:before="22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2026-05-30T18:09:43.027Z</dcterms:created>
  <dcterms:modified xsi:type="dcterms:W3CDTF">2026-05-30T18:09:43.027Z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