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jc w:val="center"/>
      </w:pPr>
      <w:r>
        <w:t xml:space="preserve">RECHTSANWALTSKANZLEI DR. SCHWEIZER-LOBERG &amp; PARTNER</w:t>
      </w:r>
    </w:p>
    <w:p>
      <w:pPr>
        <w:jc w:val="center"/>
      </w:pPr>
      <w:r>
        <w:rPr>
          <w:i/>
          <w:iCs/>
        </w:rPr>
        <w:t xml:space="preserve">Zivilrecht | Vertragsrecht | Handelsrecht</w:t>
      </w:r>
    </w:p>
    <w:p/>
    <w:p>
      <w:r>
        <w:t xml:space="preserve">An das</w:t>
      </w:r>
    </w:p>
    <w:p>
      <w:r>
        <w:rPr>
          <w:b/>
          <w:bCs/>
        </w:rPr>
        <w:t xml:space="preserve">Oberlandesgericht Dresden</w:t>
      </w:r>
    </w:p>
    <w:p>
      <w:r>
        <w:t xml:space="preserve">Schloßplatz 1</w:t>
      </w:r>
    </w:p>
    <w:p>
      <w:r>
        <w:t xml:space="preserve">01067 Dresden</w:t>
      </w:r>
    </w:p>
    <w:p/>
    <w:p>
      <w:pPr>
        <w:jc w:val="right"/>
      </w:pPr>
      <w:r>
        <w:rPr>
          <w:b w:val="false"/>
          <w:bCs w:val="false"/>
        </w:rPr>
        <w:t xml:space="preserve">Leipzig, den 10. April 2026</w:t>
      </w:r>
    </w:p>
    <w:p/>
    <w:p>
      <w:r>
        <w:rPr>
          <w:b/>
          <w:bCs/>
        </w:rPr>
        <w:t xml:space="preserve">Aktenzeichen OLG: 12 U 22/26 | Aktenzeichen Vorinstanz: LG Leipzig 4 O 99/25</w:t>
      </w:r>
    </w:p>
    <w:p/>
    <w:p>
      <w:pPr>
        <w:jc w:val="center"/>
      </w:pPr>
      <w:r>
        <w:t xml:space="preserve">In dem Rechtsstreit</w:t>
      </w:r>
    </w:p>
    <w:p/>
    <w:p>
      <w:pPr>
        <w:jc w:val="center"/>
      </w:pPr>
      <w:r>
        <w:rPr>
          <w:b w:val="false"/>
          <w:bCs w:val="false"/>
        </w:rPr>
        <w:t xml:space="preserve">Convotherm Elektrogeräte GmbH, Talstraße 35, 87600 Kaufbeuren</w:t>
      </w:r>
    </w:p>
    <w:p>
      <w:pPr>
        <w:jc w:val="center"/>
      </w:pPr>
      <w:r>
        <w:rPr>
          <w:i/>
          <w:iCs/>
        </w:rPr>
        <w:t xml:space="preserve">— Klägerin und Berufungsbeklagte —</w:t>
      </w:r>
    </w:p>
    <w:p/>
    <w:p>
      <w:pPr>
        <w:jc w:val="center"/>
      </w:pPr>
      <w:r>
        <w:t xml:space="preserve">gegen</w:t>
      </w:r>
    </w:p>
    <w:p/>
    <w:p>
      <w:pPr>
        <w:jc w:val="center"/>
      </w:pPr>
      <w:r>
        <w:rPr>
          <w:b w:val="false"/>
          <w:bCs w:val="false"/>
        </w:rPr>
        <w:t xml:space="preserve">Pohlmanns Suppentopf GmbH &amp; Co. KG, vertr. d. GF Brigitte Pohlmann-Ofenkaess</w:t>
      </w:r>
    </w:p>
    <w:p>
      <w:pPr>
        <w:jc w:val="center"/>
      </w:pPr>
      <w:r>
        <w:rPr>
          <w:i/>
          <w:iCs/>
        </w:rPr>
        <w:t xml:space="preserve">— Beklagte und Berufungsklägerin —</w:t>
      </w:r>
    </w:p>
    <w:p/>
    <w:p>
      <w:pPr>
        <w:jc w:val="center"/>
      </w:pPr>
      <w:r>
        <w:rPr>
          <w:b/>
          <w:bCs/>
          <w:u w:val="single"/>
        </w:rPr>
        <w:t xml:space="preserve">SCHRIFTSATZ — VERJÄHRUNGS-EINWAND UND HILFSWEISE AUFRECHNUNG</w:t>
      </w:r>
    </w:p>
    <w:p/>
    <w:p>
      <w:r>
        <w:t xml:space="preserve">Namens und im Auftrag der Beklagten und Berufungsklägerin nehmen wir wie folgt Stellung:</w:t>
      </w:r>
    </w:p>
    <w:p/>
    <w:p>
      <w:pPr>
        <w:pStyle w:val="Heading2"/>
      </w:pPr>
      <w:r>
        <w:t xml:space="preserve">I. Verjährungseinwand hinsichtlich des Restkaufpreises</w:t>
      </w:r>
    </w:p>
    <w:p/>
    <w:p>
      <w:r>
        <w:t xml:space="preserve">Die Berufungsbeklagte macht einen Restkaufpreisanspruch in Höhe von 44.000 EUR (netto) geltend. Dieser Anspruch unterliegt der dreijährigen Regelverjährung gemäß § 195 BGB.</w:t>
      </w:r>
    </w:p>
    <w:p/>
    <w:p>
      <w:pPr>
        <w:pStyle w:val="Heading3"/>
      </w:pPr>
      <w:r>
        <w:t xml:space="preserve">1. Fristbeginn (§ 199 Abs. 1 BGB)</w:t>
      </w:r>
    </w:p>
    <w:p/>
    <w:p>
      <w:r>
        <w:t xml:space="preserve">Gemäß § 199 Abs. 1 BGB beginnt die Verjährungsfrist mit dem Schluss des Jahres, in dem der Anspruch entstanden ist und der Gläubiger Kenntnis von den anspruchsbegründenden Umständen hatte. Die letzte Rate war gemäß Kaufvertrag am 01. Dezember 2025 fällig. Die Berufungsbeklagte hatte ab diesem Zeitpunkt Kenntnis des Anspruchs. Verjährungsbeginn: 31. Dezember 2025. Verjährungsende: 31. Dezember 2028.</w:t>
      </w:r>
    </w:p>
    <w:p/>
    <w:p>
      <w:pPr>
        <w:pStyle w:val="Heading3"/>
      </w:pPr>
      <w:r>
        <w:t xml:space="preserve">2. Hemmung durch Klageerhebung (§ 204 BGB)</w:t>
      </w:r>
    </w:p>
    <w:p/>
    <w:p>
      <w:r>
        <w:t xml:space="preserve">Die Berufungsbeklagte hat am 14. Februar 2026 beim LG Leipzig Klage erhoben. Gemäß § 204 Abs. 1 Nr. 1 BGB ist die Verjährung durch Klageerhebung gehemmt. Die Hemmung ist aktiv; der Anspruch ist nicht verjährt. Die Berufungsklägerin erhebt den Verjährungseinwand vorsorglich für den Fall, dass das OLG ein Erlöschen der Hemmungswirkung feststellt.</w:t>
      </w:r>
    </w:p>
    <w:p/>
    <w:p>
      <w:pPr>
        <w:pStyle w:val="Heading2"/>
      </w:pPr>
      <w:r>
        <w:t xml:space="preserve">II. Hilfsweise Aufrechnung — Schadensersatz mangelhafte Öfen (§§ 280, 281 BGB)</w:t>
      </w:r>
    </w:p>
    <w:p/>
    <w:p>
      <w:r>
        <w:t xml:space="preserve">Hilfsweise erklären wir namens der Berufungsklägerin die Aufrechnung (§ 387 BGB) gegenüber dem Restkaufpreisanspruch (44.000 EUR) mit einem Schadensersatzanspruch gemäß §§ 280 Abs. 1, Abs. 3, 281 BGB in Höhe von 47.400 EUR.</w:t>
      </w:r>
    </w:p>
    <w:p/>
    <w:p>
      <w:pPr>
        <w:pStyle w:val="Heading3"/>
      </w:pPr>
      <w:r>
        <w:t xml:space="preserve">1. Pflichtverletzung (§ 434 BGB Sachmangel)</w:t>
      </w:r>
    </w:p>
    <w:p/>
    <w:p>
      <w:r>
        <w:t xml:space="preserve">Drei der gelieferten Convotherm-Öfen OES 20.10 (Seriennummern CH-0044, CH-0045, CH-0048) wiesen nach vier Wochen Betrieb Defekte an der Dampfsensor-Einheit auf. Ein Sachverständigengutachten des TÜV Süd Leipzig (Dipl.-Ing. Stefan Krämer, 10. April 2026, Anlage BB1) belegt, dass die Defekte auf Fertigungsfehler zurückzuführen sind, die bereits bei Gefahrübergang vorhanden waren — mithin Sachmängel gemäß § 434 Abs. 1 S. 2 Nr. 2 BGB.</w:t>
      </w:r>
    </w:p>
    <w:p/>
    <w:p>
      <w:pPr>
        <w:pStyle w:val="Heading3"/>
      </w:pPr>
      <w:r>
        <w:t xml:space="preserve">2. Fristsetzung und Fehlschlagen der Nacherfüllung (§ 281 Abs. 1 BGB)</w:t>
      </w:r>
    </w:p>
    <w:p/>
    <w:p>
      <w:r>
        <w:t xml:space="preserve">Mit Schreiben vom 15. März 2026 wurde der Berufungsbeklagten eine Nacherfüllungsfrist bis 31. März 2026 gesetzt. Der am 25. März 2026 unternommene Reparaturversuch ist fehlgeschlagen (Zeuge: Küchenchef Hans Obermayer, Anlage BB2). Die Voraussetzungen des § 281 Abs. 1 BGB für den Übergang zum Schadensersatz statt der Leistung sind erfüllt.</w:t>
      </w:r>
    </w:p>
    <w:p/>
    <w:p>
      <w:pPr>
        <w:pStyle w:val="Heading3"/>
      </w:pPr>
      <w:r>
        <w:t xml:space="preserve">3. Schadenshöhe und Aufrechnungserklärung</w:t>
      </w:r>
    </w:p>
    <w:p/>
    <w:p>
      <w:r>
        <w:t xml:space="preserve">Der Schadensersatzanspruch beträgt 47.400 EUR (Minderwert der drei mangelhaften Öfen: 28.000 EUR; Betriebsunterbrechungsschaden 14.400 EUR; Interimgeräte-Miete 3.800 EUR; Gutachtenkosten 1.200 EUR). Mit diesem Anspruch rechnen wir gegen den Restkaufpreisanspruch von 44.000 EUR auf. Saldo zugunsten der Berufungsklägerin: 3.400 EUR.</w:t>
      </w:r>
    </w:p>
    <w:p/>
    <w:p>
      <w:pPr>
        <w:pStyle w:val="Heading2"/>
      </w:pPr>
      <w:r>
        <w:t xml:space="preserve">III. Anregung: Güterichterverfahren</w:t>
      </w:r>
    </w:p>
    <w:p/>
    <w:p>
      <w:r>
        <w:t xml:space="preserve">Die Berufungsklägerin regt an, das Verfahren an einen Güterichter zu verweisen (§ 278 Abs. 5 ZPO), um eine kosteneffiziente Lösung zu ermöglichen. Die wirtschaftliche Lage beider Parteien legt einen Vergleich nahe.</w:t>
      </w:r>
    </w:p>
    <w:p/>
    <w:p>
      <w:r>
        <w:t xml:space="preserve">Mit freundlichen kollegialen Grüßen</w:t>
      </w:r>
    </w:p>
    <w:p/>
    <w:p/>
    <w:p>
      <w:r>
        <w:t xml:space="preserve">Dr. Heinrich Schweizer-Loberg</w:t>
      </w:r>
    </w:p>
    <w:p>
      <w:r>
        <w:rPr>
          <w:i/>
          <w:iCs/>
        </w:rPr>
        <w:t xml:space="preserve">Rechtsanwalt und Berufungsführer</w:t>
      </w:r>
    </w:p>
    <w:p/>
    <w:p>
      <w:r>
        <w:rPr>
          <w:i/>
          <w:iCs/>
          <w:sz w:val="16"/>
          <w:szCs w:val="16"/>
        </w:rPr>
        <w:t xml:space="preserve">Rechtsgrundlagen: §§ 195, 199, 204 BGB (https://dejure.org/gesetze/BGB/195.html); §§ 280, 281, 387 BGB; BGH NJW 2008, 1233 (Verjährungsbeginn Stichtagsprinzip); https://www.bundesgerichtshof.de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Verjährungs-Einwand-Schriftsatz OLG Dresden 12 U 22/26</dc:title>
  <dc:creator>Perplexity Computer</dc:creator>
  <cp:lastModifiedBy>Un-named</cp:lastModifiedBy>
  <cp:revision>1</cp:revision>
  <dcterms:created xsi:type="dcterms:W3CDTF">2026-05-30T17:29:04.319Z</dcterms:created>
  <dcterms:modified xsi:type="dcterms:W3CDTF">2026-05-30T17:29:04.319Z</dcterms:modified>
</cp:coreProperties>
</file>

<file path=docProps/custom.xml><?xml version="1.0" encoding="utf-8"?>
<Properties xmlns="http://schemas.openxmlformats.org/officeDocument/2006/custom-properties" xmlns:vt="http://schemas.openxmlformats.org/officeDocument/2006/docPropsVTypes"/>
</file>