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Anlagenverzeichnis K1–K247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Verfahren: LG Aachen, Az. 11 O 188/26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Kläger: Werkmann Bau- und Anlagentechnik GmbH, Baesweiler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Beklagte: K+B Industriebau AG, Aachen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Bevollmächtigter: RA Dr. Bertram Söhnchen LL.M., Söhnchen &amp; Partner Rechtsanwälte mbB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Stand: 22. April 2026, Version 2.1</w:t>
      </w:r>
    </w:p>
    <w:p/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A. Vertragsgrundlagen (K1–K15)</w:t>
      </w:r>
    </w:p>
    <w:tbl>
      <w:tblPr>
        <w:tblW w:type="dxa" w:w="8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800"/>
        <w:gridCol w:w="1200"/>
        <w:gridCol w:w="4200"/>
        <w:gridCol w:w="900"/>
        <w:gridCol w:w="1860"/>
      </w:tblGrid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D4E1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Anlage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D4E1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Datum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D4E1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Bezeichnung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D4E1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Seiten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D4E1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Rechtsgrundlage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K1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12.03.2024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Nachunternehmervertrag NU-2024-047-KB nebst Anlagen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38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631 BGB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K2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2019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VOB/B 2019 (amtliche Fassung)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—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Vertragsgrundlage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K3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04.11.2024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Abnahmeprotokoll Lackieranlage Eschweiler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631 BGB, § 640 BGB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04.11.2024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Mangelprotokoll (23 Positionen)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8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634 BGB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K5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18.11.2024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Schlussrechnung Werkmann (netto 10.250.000 EUR)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22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631 BGB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K6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08.12.2024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Pruefbericht Schlussrechnung K+B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17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631 BGB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K7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10.12.2024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Fristsetzungsschreiben Werkmann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631 BGB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K8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20.12.2024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Zahlungsnachweis K+B (7.990.000 EUR)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631 BGB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K9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05.01.2026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Mahnschreiben Werkmann LL.M.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631 BGB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K10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09.01.2026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Zurueckweisungsschreiben K+B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631 BGB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K11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12.03.2024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Leistungsverzeichnis (Vertragsstand)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94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631 BGB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K12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15.05.2024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Nachtrag Nr. 1 — Planänderung Auftraggeber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7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2 Abs. 3 VOB/B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K13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22.07.2024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Nachtrag Nr. 17 — Mehrmengen Stahlrohre DN200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2 Abs. 3 VOB/B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K14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14.08.2024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Nachtrag Nr. 31 — Brandschutzabschottung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9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2 Abs. 3 VOB/B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K15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30.09.2024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Nachtrag Nr. 47 — Mehrkosten Verzögerung Steuerung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11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8 Abs. 2 VOB/B</w:t>
            </w:r>
          </w:p>
        </w:tc>
      </w:tr>
    </w:tbl>
    <w:p/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B. Bauausführungsnachweise (K16–K80, Auswahl)</w:t>
      </w:r>
    </w:p>
    <w:tbl>
      <w:tblPr>
        <w:tblW w:type="dxa" w:w="8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800"/>
        <w:gridCol w:w="1200"/>
        <w:gridCol w:w="4200"/>
        <w:gridCol w:w="900"/>
        <w:gridCol w:w="1860"/>
      </w:tblGrid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D4E1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Anlage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D4E1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Datum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D4E1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Bezeichnung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D4E1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Seiten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D4E1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Rechtsgrundlage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K16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30.04.2024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Aufmaßprotokoll Nr. 1 — Rohrleitungen DN200, Strang A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2 Abs. 3 VOB/B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K17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19.05.2024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Nachtrag Nr. 3 — Planänderung Fassade Eschweiler (korrigiert)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7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2 Abs. 3 VOB/B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K18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31.05.2024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Aufmaßprotokoll Nr. 3 — Stahlbauträger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631 BGB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K22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30.06.2024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Aufmaßprotokoll Nr. 7 (Echtheit bestritten von K+B)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416 ZPO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K38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31.08.2024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Aufmaßprotokoll Nr. 23 (Druckversion 1)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2 Abs. 3 VOB/B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K38a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31.08.2024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Aufmaßprotokoll Nr. 23 (Druckversion 2, korrigiert)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2 Abs. 3 VOB/B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K46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15.04.2024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Bautagebuchauszug April 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12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631 BGB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K51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15.07.2024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Bautagebuchauszug Juli 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2 Abs. 3 VOB/B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K66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15.04.2024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Schweißnahtprotokoll SNP-2024-001 (Rohrleitung DN200)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631 BGB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K75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02.10.2024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Gesamtpruefbericht Schweißnaehte (DIN EN ISO 3834-2)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18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631 BGB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K76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12.06.2024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FAT-Report Nr. 001 — HDP-Pumpenaggregate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22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631 BGB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K79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02.09.2024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FAT-Report Nr. 022 — SPS-Module AC-7C (16 Einheiten)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31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631 BGB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K80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04.11.2024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SAT-Report Nr. 018 — Gesamtanlage (Abnahme-SAT)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44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631 BGB</w:t>
            </w:r>
          </w:p>
        </w:tc>
      </w:tr>
    </w:tbl>
    <w:p/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C. Liefernachweise und Zollpapiere (K81–K140)</w:t>
      </w:r>
    </w:p>
    <w:tbl>
      <w:tblPr>
        <w:tblW w:type="dxa" w:w="8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800"/>
        <w:gridCol w:w="1200"/>
        <w:gridCol w:w="4200"/>
        <w:gridCol w:w="900"/>
        <w:gridCol w:w="1860"/>
      </w:tblGrid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D4E1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Anlage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D4E1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Datum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D4E1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Bezeichnung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D4E1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Seiten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D4E1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Rechtsgrundlage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K81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18.04.2024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Lieferschein Colorificio Veneto — HDP-Pumpen (Charge 1)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631 BGB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K95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12.08.2024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Lieferschein Binzel GmbH — Foerdertechnik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631 BGB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K111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22.05.2024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Wiegeschein Stahlrohre DN200 (Charge 1, 480 m)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2 Abs. 3 VOB/B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K125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15.09.2024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Wiegeschein Stahlrohre DN200 (letzte Charge)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2 Abs. 3 VOB/B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K126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15.04.2024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Zollpapier — Handelsrechnung Colorificio (Italienisch)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631 BGB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K126a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15.04.2024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Übersetzung K126 (Deutsch, Stang)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184 GVG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K133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22.06.2024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Zollpapier — Proforma-Rechnung Shenzhen AutoControl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631 BGB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K133a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22.06.2024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Beglaubigte Übersetzung K133 (Deutsch, Lin &amp; Partner)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184 GVG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K140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05.07.2024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Certificate of Origin Form A — SPS-Module China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631 BGB</w:t>
            </w:r>
          </w:p>
        </w:tc>
      </w:tr>
    </w:tbl>
    <w:p/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D. Konformität und Sicherheit (K141–K180)</w:t>
      </w:r>
    </w:p>
    <w:tbl>
      <w:tblPr>
        <w:tblW w:type="dxa" w:w="8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800"/>
        <w:gridCol w:w="1200"/>
        <w:gridCol w:w="4200"/>
        <w:gridCol w:w="900"/>
        <w:gridCol w:w="1860"/>
      </w:tblGrid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D4E1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Anlage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D4E1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Datum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D4E1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Bezeichnung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D4E1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Seiten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D4E1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Rechtsgrundlage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K141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03.11.2024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CE-Konformitaetserklarung Gesamtanlage (Werkmann)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8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633 BGB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K153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30.05.2024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CE-Einbauerklarung SPS-Modul AC-7C (Shenzhen AutoControl)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12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633 BGB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K153a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30.05.2024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Beglaubigte Übersetzung K153, Anhang (Deutsch, Lin &amp; Partner)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184 GVG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K165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01.06.2024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CE-Konformitaetserklarung Foerderantriebe (Binzel)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633 BGB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K166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12.03.2024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Sicherheitsdatenblatt BASF Coat 2K-Decklack DD90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8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631 BGB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K180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12.03.2024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Sicherheitsdatenblatt PPG Industries Wash-Primer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9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631 BGB</w:t>
            </w:r>
          </w:p>
        </w:tc>
      </w:tr>
    </w:tbl>
    <w:p/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E. Mehrkosten-Nachweise (K181–K247)</w:t>
      </w:r>
    </w:p>
    <w:tbl>
      <w:tblPr>
        <w:tblW w:type="dxa" w:w="8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800"/>
        <w:gridCol w:w="1200"/>
        <w:gridCol w:w="4200"/>
        <w:gridCol w:w="900"/>
        <w:gridCol w:w="1860"/>
      </w:tblGrid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D4E1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Anlage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D4E1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Datum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D4E1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Bezeichnung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D4E1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Seiten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D4E1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Rechtsgrundlage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K181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30.11.2024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Mehrkostenberechnung Nachtrag 1 — Planänderung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2 Abs. 3 VOB/B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K194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30.11.2024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Mehrkostenberechnung Nachtrag 17 — Stahlrohre DN200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8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2 Abs. 3 VOB/B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K210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30.11.2024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Mehrkostenberechnung Nachtrag 31 — Brandschutz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7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2 Abs. 3 VOB/B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K227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30.11.2024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Mehrkostenberechnung Nachtrag 47 — Verzögerung Steuerung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11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8 Abs. 2 VOB/B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K228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12.05.2024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Korrespondenz Nachtrag 1 (E-Mail K+B Bauleitung)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2 Abs. 3 VOB/B</w:t>
            </w:r>
          </w:p>
        </w:tc>
      </w:tr>
      <w:tr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K247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28.09.2024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Anordnung K+B: Mehrleistung Steuerungsraum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§ 8 Abs. 2 VOB/B</w:t>
            </w:r>
          </w:p>
        </w:tc>
      </w:tr>
    </w:tbl>
    <w:p/>
    <w:p>
      <w:pPr>
        <w:spacing w:after="120"/>
      </w:pPr>
      <w:r>
        <w:rPr>
          <w:rFonts w:ascii="Arial" w:cs="Arial" w:eastAsia="Arial" w:hAnsi="Arial"/>
          <w:color w:val="666666"/>
          <w:sz w:val="18"/>
          <w:szCs w:val="18"/>
        </w:rPr>
        <w:t xml:space="preserve">Quellen: § 130 ZPO (https://dejure.org/gesetze/ZPO/130.html); § 142 ZPO (https://dejure.org/gesetze/ZPO/142.html); BGH, Urteil 25.02.2016 — VII ZR 49/15 (bundesgerichtshof.de).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t xml:space="preserve">Seite </w:t>
    </w:r>
    <w:r>
      <w:fldChar w:fldCharType="begin"/>
      <w:instrText xml:space="preserve">PAGE</w:instrText>
      <w:fldChar w:fldCharType="separate"/>
      <w:fldChar w:fldCharType="end"/>
    </w:r>
    <w:r>
      <w:t xml:space="preserve"> von </w:t>
    </w:r>
    <w: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666666"/>
        <w:sz w:val="18"/>
        <w:szCs w:val="18"/>
      </w:rPr>
      <w:t xml:space="preserve">Anlagenverzeichnis — LG Aachen 11 O 188/26 | Stand: 22.04.2026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2026-05-30T18:07:36.540Z</dcterms:created>
  <dcterms:modified xsi:type="dcterms:W3CDTF">2026-05-30T18:07:36.541Z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