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Widerklage-Schriftsatz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Schiedsgericht: Deutsche Institution für Schiedsgerichtsbarkeit e.V. (DIS)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Az.: DIS-SV-2026/088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Schiedsklägerin/Widerbeklagte: K+B Industriebau AG, Roermonder Straße 155, 52072 Aachen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Schiedsbeklagte/Widerklägerin: Werkmann Bau- und Anlagentechnik GmbH, Industriestraße 44, 52499 Baesweiler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Schiedsort: Frankfurt am Main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Datum: 31. März 2026</w:t>
      </w:r>
    </w:p>
    <w:p/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A. Klageerwiderung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Die Schiedsklage der K+B Industriebau AG wird als unbegründet zurückgewiesen. Die von K+B behaupteten Mangelfolgeschäden in Höhe von 1.200.000 EUR sind weder dem Grunde noch der Höhe nach dargelegt. Zum Beleg verweisen wir auf die Anlagen S-W-076 bis S-W-098 (FAT/SAT-Reports, gesamt 18 Prüfberichte), die belegen, dass die Lackieranlage am 04.11.2024 in einem abnahmefähigen Zustand übergeben wurde. Offene Punkte (Steuerungsmodul 7C) lagen ausschließlich im Verantwortungsbereich von K+B.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Weiterhin bestreiten wir, dass das Schiedsgericht für die Mangelfolgeschadensforderung zuständig ist, soweit diese Gegenstände der beim Landgericht Aachen anhängigen Klage (Az. 11 O 188/26) betrifft. Eine doppelte Rechtshängigkeit ist zu vermeiden (§ 261 Abs. 3 Nr. 1 ZPO analog).</w:t>
      </w:r>
    </w:p>
    <w:p/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B. Widerklage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Die Widerklägerin erhebt Widerklage auf Zahlung der ausstehenden Werklohnforderung in Höhe von: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Hauptforderung: 2.400.000 EUR netto (zzgl. 19 % MwSt., mithin 2.856.000 EUR brutto)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Zinsen: 9 Prozentpunkte über dem Basiszinssatz seit dem 09.01.2026 (Datum Mahnung)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Außergerichtliche Anwaltskosten: 16.944 EUR netto (Gebühren aus Gegenstandswert 2.400.000 EUR nach RVG)</w:t>
      </w:r>
    </w:p>
    <w:p/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C. Anlagenstruktur (Übersicht)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5400"/>
        <w:gridCol w:w="2360"/>
      </w:tblGrid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Anlage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Bezeichnung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Seiten im Sammelband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S-W-001 bis S-W-015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Vertragsunterlagen (Nachunternehmervertrag, Abnahme, Schlussrechnung)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Seiten 1–180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S-W-016 bis S-W-080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Bauausfuehrungsnachweise (Aufmass, Bautagebuch, FAT/SAT)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Seiten 181–800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S-W-081 bis S-W-140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Liefernachweise und Zollpapiere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Seiten 801–1.210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S-W-141 bis S-W-180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CE-Konformitat und Sicherheitsdatenblatter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Seiten 1.211–1.430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S-W-181 bis S-W-247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Mehrkostenabrechnung (47 Nachtragspositionen)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Seiten 1.431–1.847</w:t>
            </w:r>
          </w:p>
        </w:tc>
      </w:tr>
    </w:tbl>
    <w:p/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Gesamtumfang Sammelband: 1.847 Seiten. Einreichung: 4 Originalexemplare + 4 USB-Sticks (SHA-256-Prufsummenliste als Anlage S-W-248).</w:t>
      </w:r>
    </w:p>
    <w:p/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D. Rechtliche Grundlagen der Widerklage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§ 631 BGB: Werklohnanspruch für vertraglich vereinbarte und erbrachte Leistungen. Quelle: https://dejure.org/gesetze/BGB/631.html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§ 2 Abs. 3 VOB/B: Mehrvergütungsanspruch bei Uberschreitung von Leistungspositionen um mehr als 10 Prozent. Quelle: https://dejure.org/gesetze/VOB/B.html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§ 8 Abs. 2 VOB/B: Mehrkostenabrechnung bei Verzoegerungen aus der Sphaere des Auftraggebers. Quelle: https://dejure.org/gesetze/VOB/B.html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BGH, Urteil vom 24.02.2005 — VII ZR 141/03 (bundesgerichtshof.de): Substantiierungsanforderungen bei Werklohnklagen.</w:t>
      </w:r>
    </w:p>
    <w:p/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Frankfurt am Main, 31. März 2026</w:t>
      </w:r>
    </w:p>
    <w:p/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RA Dr. Bertram Söhnchen LL.M.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Söhnchen &amp; Partner Rechtsanwälte mbB, Aachen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Bevollmächtigter der Widerklägerin (Werkmann Bau- und Anlagentechnik GmbH)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t xml:space="preserve">Seite </w:t>
    </w:r>
    <w:r>
      <w:fldChar w:fldCharType="begin"/>
      <w:instrText xml:space="preserve">PAGE</w:instrText>
      <w:fldChar w:fldCharType="separate"/>
      <w:fldChar w:fldCharType="end"/>
    </w:r>
    <w:r>
      <w:t xml:space="preserve"> von </w:t>
    </w:r>
    <w: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666666"/>
        <w:sz w:val="18"/>
        <w:szCs w:val="18"/>
      </w:rPr>
      <w:t xml:space="preserve">DIS-SV-2026/088 | Werkmann ./. K+B | Widerklage-Schriftsatz | 31.03.2026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2026-05-30T18:08:59.111Z</dcterms:created>
  <dcterms:modified xsi:type="dcterms:W3CDTF">2026-05-30T18:08:59.111Z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