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i w:val="0"/>
          <w:color w:val="1B474D"/>
          <w:sz w:val="22"/>
        </w:rPr>
        <w:t>KLOTZKETTE RECHTSANWALTSGESELLSCHAFT mbH</w:t>
      </w:r>
    </w:p>
    <w:p>
      <w:r>
        <w:rPr>
          <w:rFonts w:ascii="Calibri" w:hAnsi="Calibri"/>
          <w:b w:val="0"/>
          <w:i w:val="0"/>
          <w:color w:val="7A7974"/>
          <w:sz w:val="18"/>
        </w:rPr>
        <w:t>Charlottenstraße 35  |  10117 Berlin  |  Tel. 030 / 28 44 92-0</w:t>
        <w:br/>
        <w:t>RAin Christina Wachhorst, Fachanwältin Medizinrecht</w:t>
      </w:r>
    </w:p>
    <w:p/>
    <w:p>
      <w:r>
        <w:rPr>
          <w:rFonts w:ascii="Calibri" w:hAnsi="Calibri"/>
          <w:b w:val="0"/>
          <w:i w:val="0"/>
          <w:sz w:val="20"/>
        </w:rPr>
        <w:t>An das</w:t>
        <w:br/>
        <w:t>Landgericht Hildesheim</w:t>
        <w:br/>
        <w:t>— Zivilkammer —</w:t>
        <w:br/>
        <w:t>Kaiserstraße 60</w:t>
        <w:br/>
        <w:t>31134 Hildesheim</w:t>
      </w:r>
    </w:p>
    <w:p/>
    <w:p>
      <w:r>
        <w:rPr>
          <w:rFonts w:ascii="Calibri" w:hAnsi="Calibri"/>
          <w:b w:val="0"/>
          <w:i w:val="0"/>
          <w:sz w:val="20"/>
        </w:rPr>
        <w:t>Hildesheim, [Datum Einreichung]</w:t>
        <w:br/>
        <w:br/>
      </w:r>
    </w:p>
    <w:p>
      <w:pPr>
        <w:jc w:val="left"/>
      </w:pPr>
      <w:r>
        <w:rPr>
          <w:rFonts w:ascii="Calibri" w:hAnsi="Calibri"/>
          <w:b/>
          <w:i w:val="0"/>
          <w:color w:val="1B474D"/>
          <w:sz w:val="28"/>
        </w:rPr>
        <w:t>KLAGESCHRIFT</w:t>
      </w:r>
    </w:p>
    <w:p/>
    <w:p>
      <w:r>
        <w:rPr>
          <w:rFonts w:ascii="Calibri" w:hAnsi="Calibri"/>
          <w:b w:val="0"/>
          <w:i w:val="0"/>
          <w:sz w:val="20"/>
        </w:rPr>
        <w:t>Klägerinnen:</w:t>
        <w:br/>
        <w:t>1. Lina Meinhardt, Harzstraße 24, 31134 Hildesheim</w:t>
        <w:br/>
        <w:t>2. Helene Meinhardt, Harzstraße 24, 31134 Hildesheim,</w:t>
        <w:br/>
        <w:t xml:space="preserve">   vertreten durch ihre Mutter als gesetzliche Vertreterin Lina Meinhardt</w:t>
      </w:r>
    </w:p>
    <w:p>
      <w:r>
        <w:rPr>
          <w:rFonts w:ascii="Calibri" w:hAnsi="Calibri"/>
          <w:b/>
          <w:i w:val="0"/>
          <w:sz w:val="20"/>
        </w:rPr>
        <w:t>Bevollmächtigte:</w:t>
        <w:br/>
        <w:t>Klotzkette Rechtsanwaltsgesellschaft mbH, RAin Christina Wachhorst, Charlottenstraße 35, 10117 Berlin</w:t>
      </w:r>
    </w:p>
    <w:p>
      <w:r>
        <w:rPr>
          <w:rFonts w:ascii="Calibri" w:hAnsi="Calibri"/>
          <w:b w:val="0"/>
          <w:i w:val="0"/>
          <w:sz w:val="20"/>
        </w:rPr>
        <w:t>Beklagte:</w:t>
        <w:br/>
        <w:t>1. Evangelisches Klinikum Bad Salzdetfurth gGmbH, vertreten durch die Geschäftsführung, Bad Salzdetfurth</w:t>
        <w:br/>
        <w:t>2. Dr. Almut Voth, Oberärztin, c/o Evangelisches Klinikum Bad Salzdetfurth gGmbH</w:t>
      </w:r>
    </w:p>
    <w:p/>
    <w:p>
      <w:r>
        <w:rPr>
          <w:rFonts w:ascii="Calibri" w:hAnsi="Calibri"/>
          <w:b/>
          <w:i w:val="0"/>
          <w:sz w:val="20"/>
        </w:rPr>
        <w:t>Streitwert:  ca. EUR 711.800 (beziffert EUR 511.800 + Feststellungsanträge ca. EUR 200.000)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I. Klageanträge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Beklagten werden als Gesamtschuldner verurteilt, an die Klägerin zu 2) (Helene Meinhardt) ein angemessenes Schmerzensgeld zu zahlen, mindestens EUR 350.000,--, nebst Zinsen 5 Prozentpunkte über Basiszinssatz seit Rechtshängigkeit.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Beklagten werden als Gesamtschuldner verurteilt, an die Klägerin zu 1) (Lina Meinhardt) ein Schmerzensgeld für eigene Schäden zu zahlen, mindestens EUR 25.000,--, nebst Zinsen.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Beklagte zu 1) wird verurteilt, an die Klägerin zu 2) EUR 57.800,-- materiellen Schaden (Pflegemehraufwand, Hilfsmittel 2024/25) zu zahlen.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Beklagte zu 1) wird verurteilt, an die Klägerin zu 1) EUR 21.600,-- Verdienstausfall zu zahlen.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Beklagte zu 1) wird verurteilt, an die Klägerin zu 1) EUR 2.400,-- Psychotherapiekosten zu zahlen.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Es wird festgestellt, dass die Beklagte zu 1) verpflichtet ist, der Klägerin zu 2) sämtliche zukünftigen materiellen Schäden aus dem Geburtsgeschehen vom 17./18. Juli 2024 zu ersetzen.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Es wird festgestellt, dass die Beklagte zu 1) verpflichtet ist, der Klägerin zu 1) zukünftigen Erwerbsausfall zu ersetzen.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Den Klägerinnen wird Prozesskostenhilfe bewilligt; RAin Wachhorst wird beigeordnet.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II. Sachverhalt</w:t>
      </w:r>
    </w:p>
    <w:p>
      <w:pPr>
        <w:jc w:val="left"/>
      </w:pPr>
      <w:r>
        <w:rPr>
          <w:rFonts w:ascii="Calibri" w:hAnsi="Calibri"/>
          <w:b/>
          <w:i w:val="0"/>
          <w:color w:val="1B474D"/>
          <w:sz w:val="22"/>
        </w:rPr>
        <w:t>1. Aufnahme und Geburtsverlauf</w:t>
      </w:r>
    </w:p>
    <w:p>
      <w:r>
        <w:rPr>
          <w:rFonts w:ascii="Calibri" w:hAnsi="Calibri"/>
          <w:b w:val="0"/>
          <w:i w:val="0"/>
          <w:sz w:val="20"/>
        </w:rPr>
        <w:t>Die Klägerin zu 1) wurde am 17. Juli 2024 um 21:48 Uhr in der Geburtshilfe der Beklagten zu 1) aufgenommen (ET+5, erste Geburt). Ab 23:25 Uhr zeigte das CTG späte Dezelerationen, die nach FIGO-Klassifikation 2015 spätestens ab 23:55 Uhr als pathologisch zu werten waren.</w:t>
      </w:r>
    </w:p>
    <w:p>
      <w:pPr>
        <w:jc w:val="left"/>
      </w:pPr>
      <w:r>
        <w:rPr>
          <w:rFonts w:ascii="Calibri" w:hAnsi="Calibri"/>
          <w:b/>
          <w:i w:val="0"/>
          <w:color w:val="1B474D"/>
          <w:sz w:val="22"/>
        </w:rPr>
        <w:t>2. Fehlende Reaktion</w:t>
      </w:r>
    </w:p>
    <w:p>
      <w:r>
        <w:rPr>
          <w:rFonts w:ascii="Calibri" w:hAnsi="Calibri"/>
          <w:b w:val="0"/>
          <w:i w:val="0"/>
          <w:sz w:val="20"/>
        </w:rPr>
        <w:t>Weder eine Mikroblutuntersuchung noch eine Sectio-Indikationsprüfung wurden bis 03:47 Uhr durchgeführt oder dokumentiert. Ein ärztliches Aufklärungsgespräch über CTG-Befund und Behandlungsoptionen fand nicht statt. Die Schichtübergabe um 01:12 Uhr enthielt keine Information über das pathologische CTG.</w:t>
      </w:r>
    </w:p>
    <w:p>
      <w:pPr>
        <w:jc w:val="left"/>
      </w:pPr>
      <w:r>
        <w:rPr>
          <w:rFonts w:ascii="Calibri" w:hAnsi="Calibri"/>
          <w:b/>
          <w:i w:val="0"/>
          <w:color w:val="1B474D"/>
          <w:sz w:val="22"/>
        </w:rPr>
        <w:t>3. Notsectio und Geburtsschaden</w:t>
      </w:r>
    </w:p>
    <w:p>
      <w:r>
        <w:rPr>
          <w:rFonts w:ascii="Calibri" w:hAnsi="Calibri"/>
          <w:b w:val="0"/>
          <w:i w:val="0"/>
          <w:sz w:val="20"/>
        </w:rPr>
        <w:t>Um 03:47 Uhr wurde nach akuter Bradykardie eine Notsectio durchgeführt. Helene Meinhardt wurde 03:54 Uhr geboren: Apgar 1/3/5, NSpH 6,92, BE -18,5 mmol/L. Diagnose: HIE Grad III, heute ICP Grad III (GMFCS V), dauerhaft pflegebedürftig.</w:t>
      </w:r>
    </w:p>
    <w:p>
      <w:pPr>
        <w:jc w:val="left"/>
      </w:pPr>
      <w:r>
        <w:rPr>
          <w:rFonts w:ascii="Calibri" w:hAnsi="Calibri"/>
          <w:b/>
          <w:i w:val="0"/>
          <w:color w:val="1B474D"/>
          <w:sz w:val="22"/>
        </w:rPr>
        <w:t>4. Dokumentationsmängel</w:t>
      </w:r>
    </w:p>
    <w:p>
      <w:r>
        <w:rPr>
          <w:rFonts w:ascii="Calibri" w:hAnsi="Calibri"/>
          <w:b w:val="0"/>
          <w:i w:val="0"/>
          <w:sz w:val="20"/>
        </w:rPr>
        <w:t>CTG-Bogen 5 (03:05–03:47 Uhr) fehlt. Labor-EDV-Beleg für den pH-Eintrag 02:30 Uhr fehlt. Pflegedokumentation 03:00–03:47 Uhr fehlt.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III. Rechtliche Grundlagen</w:t>
      </w:r>
    </w:p>
    <w:p>
      <w:r>
        <w:rPr>
          <w:rFonts w:ascii="Calibri" w:hAnsi="Calibri"/>
          <w:b w:val="0"/>
          <w:i w:val="0"/>
          <w:sz w:val="20"/>
        </w:rPr>
        <w:t>Behandlungsfehler: §§ 630a Abs. 2, 280, 823 Abs. 1 BGB. Aufklärungsmangel: § 630e BGB, § 630h Abs. 1 BGB. Dokumentationsmangel: §§ 630f, 630h Abs. 3 BGB (Vermutung unterbliebener Maßnahmen). Grober Behandlungsfehler § 630h Abs. 5 BGB (Beweislastumkehr Kausalität). Schmerzensgeld: § 253 Abs. 2 BGB.</w:t>
      </w:r>
    </w:p>
    <w:p>
      <w:r>
        <w:rPr>
          <w:rFonts w:ascii="Calibri" w:hAnsi="Calibri"/>
          <w:b w:val="0"/>
          <w:i w:val="0"/>
          <w:sz w:val="20"/>
        </w:rPr>
        <w:t>Die Sachverständige Prof. Dr. [M.-G.] hat im Schlichtungsverfahren der ÄK Niedersachsen (Az. GS-2024-3817-NI) festgestellt: Behandlungsfehler überwiegend wahrscheinlich. Der Schlichtungsvorschlag wurde von der Beklagten zu 1) abgelehnt.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IV. Beweisangebote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</w:tcPr>
          <w:p>
            <w:r>
              <w:rPr>
                <w:rFonts w:ascii="Calibri" w:hAnsi="Calibri"/>
                <w:b/>
                <w:sz w:val="18"/>
              </w:rPr>
              <w:t>Beweisthema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b/>
                <w:sz w:val="18"/>
              </w:rPr>
              <w:t>Beweis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b/>
                <w:sz w:val="18"/>
              </w:rPr>
              <w:t>Status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CTG-Befund pathologisch ab 23:25 Uhr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SV-Gutachten, CTG-Bögen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SV zu bestellen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Keine MBU durchgeführt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Akte, Zeugen Sander, Pfletschinger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Akte vorhanden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Fehlende Arztvisite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Akte, Zeugen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Akte vorhanden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Fehlerhafte Übergabe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Zeugen Sander, Pfletschinger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Widersprüchlich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Fehlender CTG-Bogen 5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Akte selbst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Belegt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pH-Eintrag ohne Labor-Beleg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Labor-EDV (anzufordern)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Angefordert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HIE/ICP Helene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NICU-Akte, MRT, SV Neuropädiatrie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SV zu bestellen</w:t>
            </w:r>
          </w:p>
        </w:tc>
      </w:tr>
      <w:tr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Pflegekosten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Bescheide, Rechnungen, SV Pflege</w:t>
            </w:r>
          </w:p>
        </w:tc>
        <w:tc>
          <w:tcPr>
            <w:tcW w:type="dxa" w:w="3041"/>
          </w:tcPr>
          <w:p>
            <w:r>
              <w:rPr>
                <w:rFonts w:ascii="Calibri" w:hAnsi="Calibri"/>
                <w:sz w:val="18"/>
              </w:rPr>
              <w:t>Belege vorhanden</w:t>
            </w:r>
          </w:p>
        </w:tc>
      </w:tr>
    </w:tbl>
    <w:p/>
    <w:p>
      <w:r>
        <w:rPr>
          <w:rFonts w:ascii="Calibri" w:hAnsi="Calibri"/>
          <w:b w:val="0"/>
          <w:i w:val="0"/>
          <w:sz w:val="20"/>
        </w:rPr>
        <w:t>Berlin, [Datum]</w:t>
        <w:br/>
        <w:br/>
        <w:br/>
        <w:t>Christina Wachhorst</w:t>
        <w:br/>
        <w:t>Rechtsanwältin, Fachanwältin Medizinrecht</w:t>
        <w:br/>
        <w:t>Klotzkette Rechtsanwaltsgesellschaft mbH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