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Gutachter- und Schlichtungsstelle für ärztliche Behandlungen</w:t>
      </w:r>
    </w:p>
    <w:p>
      <w:pPr>
        <w:jc w:val="left"/>
      </w:pPr>
      <w:r>
        <w:rPr>
          <w:rFonts w:ascii="Calibri" w:hAnsi="Calibri"/>
          <w:b/>
          <w:i w:val="0"/>
          <w:color w:val="1B474D"/>
          <w:sz w:val="22"/>
        </w:rPr>
        <w:t>bei der Ärztekammer Niedersachsen</w:t>
      </w:r>
    </w:p>
    <w:p/>
    <w:p>
      <w:r>
        <w:rPr>
          <w:rFonts w:ascii="Calibri" w:hAnsi="Calibri"/>
          <w:b/>
          <w:i w:val="0"/>
          <w:sz w:val="20"/>
        </w:rPr>
        <w:t>Aktenzeichen: GS-2024-3817-NI (fiktiv)</w:t>
        <w:br/>
        <w:t>Hannover, 05. Mai 2025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8"/>
        </w:rPr>
        <w:t>SCHLICHTUNGSENTSCHEID</w:t>
      </w:r>
    </w:p>
    <w:p/>
    <w:p>
      <w:r>
        <w:rPr>
          <w:rFonts w:ascii="Calibri" w:hAnsi="Calibri"/>
          <w:b w:val="0"/>
          <w:i w:val="0"/>
          <w:sz w:val="20"/>
        </w:rPr>
        <w:t>Antragstellerin: Lina Meinhardt, vertreten durch RAin Christina Wachhorst</w:t>
        <w:br/>
        <w:t>Beschwerdegegner zu 1): Evangelisches Klinikum Bad Salzdetfurth gGmbH</w:t>
        <w:br/>
        <w:t>Beschwerdegegner zu 2): Dr. Almut Voth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I. Feststellungen</w:t>
      </w:r>
    </w:p>
    <w:p>
      <w:r>
        <w:rPr>
          <w:rFonts w:ascii="Calibri" w:hAnsi="Calibri"/>
          <w:b w:val="0"/>
          <w:i w:val="0"/>
          <w:sz w:val="20"/>
        </w:rPr>
        <w:t>Die Schlichtungsstelle stellt auf Grundlage des Sachverständigengutachtens von Prof. Dr. [M.-G.] (Geburtshilfe) und Dr. [P.-R.] (Neonatologie/Neuropädiatrie) vom 14. März 2025 fest:</w:t>
      </w:r>
    </w:p>
    <w:p>
      <w:r>
        <w:rPr>
          <w:rFonts w:ascii="Calibri" w:hAnsi="Calibri"/>
          <w:b w:val="0"/>
          <w:i w:val="0"/>
          <w:sz w:val="20"/>
        </w:rPr>
        <w:t>1. Behandlungsfehler: Spätestens ab 23:30 Uhr lag ein pathologisches CTG-Muster vor, das nach dem ärztlichen Facharztstandard eine Mikroblutuntersuchung oder Sectio-Indikationsüberprüfung erfordert hätte. Diese Reaktion ist nicht dokumentiert und nach Aussagenlage faktisch nicht erfolgt. Die Schichtübergabe um 01:12 Uhr war nicht leitliniengerecht. Die fehlende Aufklärung über Sectio-Optionen stellt einen Aufklärungsmangel nach § 630e BGB dar.</w:t>
      </w:r>
    </w:p>
    <w:p>
      <w:r>
        <w:rPr>
          <w:rFonts w:ascii="Calibri" w:hAnsi="Calibri"/>
          <w:b w:val="0"/>
          <w:i w:val="0"/>
          <w:sz w:val="20"/>
        </w:rPr>
        <w:t>2. Kausalität: Die Kausalität des festgestellten Behandlungsfehlers für den Gesundheitsschaden von Helene Meinhardt ist überwiegend wahrscheinlich. Eine abschließende gerichtliche Klärung durch ein weiteres Sachverständigengutachten wird empfohlen.</w:t>
      </w:r>
    </w:p>
    <w:p>
      <w:r>
        <w:rPr>
          <w:rFonts w:ascii="Calibri" w:hAnsi="Calibri"/>
          <w:b w:val="0"/>
          <w:i w:val="0"/>
          <w:sz w:val="20"/>
        </w:rPr>
        <w:t>3. Dokumentationsmängel: Das Fehlen des CTG-Bogens 5 ist als erklärungsbedürftige Anomalie zu vermerken.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II. Schlichtungsvorschlag</w:t>
      </w:r>
    </w:p>
    <w:p>
      <w:r>
        <w:rPr>
          <w:rFonts w:ascii="Calibri" w:hAnsi="Calibri"/>
          <w:b w:val="0"/>
          <w:i w:val="0"/>
          <w:sz w:val="20"/>
        </w:rPr>
        <w:t>Die Schlichtungsstelle schlägt als Gesamtabfindung EUR 180.000,-- vor. Dieser Betrag umfasst Schmerzensgeld und Pflegemehraufwand, nicht zukünftige Pflegekosten. Der Betrag liegt unterhalb des gerichtlich erzielbaren Betrags; er soll den Aufwand eines Prozesses abgelten.</w:t>
      </w:r>
    </w:p>
    <w:p/>
    <w:p>
      <w:pPr>
        <w:jc w:val="left"/>
      </w:pPr>
      <w:r>
        <w:rPr>
          <w:rFonts w:ascii="Calibri" w:hAnsi="Calibri"/>
          <w:b/>
          <w:i w:val="0"/>
          <w:color w:val="1B474D"/>
          <w:sz w:val="24"/>
        </w:rPr>
        <w:t>III. Reaktion der Beteiligten</w:t>
      </w:r>
    </w:p>
    <w:p>
      <w:r>
        <w:rPr>
          <w:rFonts w:ascii="Calibri" w:hAnsi="Calibri"/>
          <w:b w:val="0"/>
          <w:i w:val="0"/>
          <w:sz w:val="20"/>
        </w:rPr>
        <w:t>Beschwerdegegner zu 1): Mit Schreiben vom 14. Mai 2025 lehnt die Klinik (Kanzlei Bennewald &amp; Wendelborg) den Schlichtungsvorschlag ab. Die Klinik bestreitet weiterhin den Behandlungsfehler und gibt die Angelegenheit an den Haftpflichtversicherer AssekuranzAlpha AG ab.</w:t>
      </w:r>
    </w:p>
    <w:p>
      <w:r>
        <w:rPr>
          <w:rFonts w:ascii="Calibri" w:hAnsi="Calibri"/>
          <w:b w:val="0"/>
          <w:i w:val="0"/>
          <w:sz w:val="20"/>
        </w:rPr>
        <w:t>Antragstellerin: Lehnt den Vorschlag als unzureichend ab. Klage beim LG Hildesheim in Vorbereitung.</w:t>
      </w:r>
    </w:p>
    <w:p/>
    <w:p>
      <w:r>
        <w:rPr>
          <w:rFonts w:ascii="Calibri" w:hAnsi="Calibri"/>
          <w:b w:val="0"/>
          <w:i/>
          <w:sz w:val="20"/>
        </w:rPr>
        <w:t>Hannover, 05. Mai 2025</w:t>
        <w:br/>
        <w:br/>
        <w:t>Die Schlichtungsstelle der Ärztekammer Niedersachsen</w:t>
      </w:r>
    </w:p>
    <w:p/>
    <w:p>
      <w:r>
        <w:rPr>
          <w:rFonts w:ascii="Calibri" w:hAnsi="Calibri"/>
          <w:b w:val="0"/>
          <w:i/>
          <w:color w:val="7A7974"/>
          <w:sz w:val="16"/>
        </w:rPr>
        <w:t>Hinweis: Dieses Dokument ist eine anonymisierte Rekonstruktion für Testzwecke. Alle Personen, Institutionen und Aktenzeichen sind fiktiv. Keine rechtliche Wirkung.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