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rPr>
          <w:b/>
          <w:bCs/>
        </w:rPr>
        <w:t xml:space="preserve">Compliance-Handbuch Thalvenia Bank AG</w:t>
      </w:r>
    </w:p>
    <w:p>
      <w:r>
        <w:rPr>
          <w:b/>
          <w:bCs/>
        </w:rPr>
        <w:t xml:space="preserve">Version 3.3 - Stand: Oktober 2025</w:t>
      </w:r>
    </w:p>
    <w:p>
      <w:r>
        <w:t xml:space="preserve">Vertraulich - Nur fuer interne Verwendung</w:t>
      </w:r>
    </w:p>
    <w:p/>
    <w:p>
      <w:pPr>
        <w:pStyle w:val="Heading2"/>
      </w:pPr>
      <w:r>
        <w:rPr>
          <w:b/>
          <w:bCs/>
        </w:rPr>
        <w:t xml:space="preserve">1. Geltungsbereich und Grundsaetze</w:t>
      </w:r>
    </w:p>
    <w:p>
      <w:r>
        <w:t xml:space="preserve">Dieses Handbuch gilt fuer alle Mitarbeiterinnen und Mitarbeiter der Thalvenia Bank AG. Es legt die Grundsaetze der Compliance-Organisation, die Pflichten aus dem Geldwaeschegesetz (GwG), den bankaufsichtlichen Anforderungen (MaRisk BA 2024, BAIT 2024) sowie aus der MiCAR-Verordnung (VO (EU) 2023/1114) fest.</w:t>
      </w:r>
    </w:p>
    <w:p/>
    <w:p>
      <w:pPr>
        <w:pStyle w:val="Heading2"/>
      </w:pPr>
      <w:r>
        <w:rPr>
          <w:b/>
          <w:bCs/>
        </w:rPr>
        <w:t xml:space="preserve">2. AML-Organisation</w:t>
      </w:r>
    </w:p>
    <w:p>
      <w:r>
        <w:rPr>
          <w:b/>
          <w:bCs/>
        </w:rPr>
        <w:t xml:space="preserve">2.1 Geldwaeschebeauftragter</w:t>
      </w:r>
    </w:p>
    <w:p>
      <w:r>
        <w:t xml:space="preserve">Geldwaeschebeauftragter i.S.d. § 7 GwG ist der Chief Compliance Officer (CCO). Er ist unmittelbar dem Vorstand unterstellt und weisungsunabhaengig in seiner Meldefunktion. Stellvertreter ist die AML-Analystin Lena Goebel-Strauch.</w:t>
      </w:r>
    </w:p>
    <w:p/>
    <w:p>
      <w:r>
        <w:rPr>
          <w:b/>
          <w:bCs/>
        </w:rPr>
        <w:t xml:space="preserve">2.2 Kundensorgfaltspflichten (§§ 10-15 GwG)</w:t>
      </w:r>
    </w:p>
    <w:p>
      <w:r>
        <w:t xml:space="preserve">Jeder Neukunde ist zu identifizieren. Bei Hochrisikokunden (Kategorie 3 und 4) sind verstaerkte Sorgfaltspflichten nach § 15 GwG anzuwenden. Die PEP-Pruefung erfolgt mittels SymphonyAI Sensa (Tier 1 + Tier 2 seit April 2026).</w:t>
      </w:r>
    </w:p>
    <w:p/>
    <w:p>
      <w:r>
        <w:rPr>
          <w:b/>
          <w:bCs/>
        </w:rPr>
        <w:t xml:space="preserve">2.3 Verdachtsmeldepflicht (§ 43 GwG)</w:t>
      </w:r>
    </w:p>
    <w:p>
      <w:r>
        <w:t xml:space="preserve">Bei Verdacht auf Geldwaesche oder Terrorismusfinanzierung ist unverzueglich eine Meldung an die FIU zu erstatten. Die Meldung erfolgt ueber das goAML-Portal. Der Geldwaeschebeauftragte entscheidet ueber die Erstattung. Alle Analyse-Vermerke sind aktenkundig zu machen.</w:t>
      </w:r>
    </w:p>
    <w:p/>
    <w:p>
      <w:pPr>
        <w:pStyle w:val="Heading2"/>
      </w:pPr>
      <w:r>
        <w:rPr>
          <w:b/>
          <w:bCs/>
        </w:rPr>
        <w:t xml:space="preserve">3. IT-Sicherheit (BAIT 2024)</w:t>
      </w:r>
    </w:p>
    <w:p>
      <w:r>
        <w:rPr>
          <w:b/>
          <w:bCs/>
        </w:rPr>
        <w:t xml:space="preserve">3.1 Anzeigepflicht IT-Sicherheitsvorfaelle (BAIT Tz. 55)</w:t>
      </w:r>
    </w:p>
    <w:p>
      <w:r>
        <w:t xml:space="preserve">Wesentliche IT-Sicherheitsvorfaelle sind der BaFin unverzueglich, spaetestens 24 Stunden nach Kenntniserlangung, zu melden. Eine 'wesentliche IT-Sicherheitsvorfall' liegt vor, wenn die Vertraulichkeit, Integritaet oder Verfuegbarkeit von Kundendaten, Kundenvermoegenswerten oder kritischen Systemen beeintraechtigt ist. Der CISO meldet unmittelbar an Vorstand und BaFin.</w:t>
      </w:r>
    </w:p>
    <w:p/>
    <w:p>
      <w:r>
        <w:rPr>
          <w:b/>
          <w:bCs/>
        </w:rPr>
        <w:t xml:space="preserve">3.2 Business Continuity Management</w:t>
      </w:r>
    </w:p>
    <w:p>
      <w:r>
        <w:t xml:space="preserve">Das Notfallkonzept (Stand: Juli 2026) legt DR-Prozesse fuer alle kritischen Systeme (MPC-Signing, Cold Custody, Core Banking) fest. DR-Tests erfolgen halbjaehrlich. Patches fuer kritische Schwachstellen (CVSS &gt; 9.0) sind innerhalb von 72 Stunden einzuspielen.</w:t>
      </w:r>
    </w:p>
    <w:p/>
    <w:p>
      <w:pPr>
        <w:pStyle w:val="Heading2"/>
      </w:pPr>
      <w:r>
        <w:rPr>
          <w:b/>
          <w:bCs/>
        </w:rPr>
        <w:t xml:space="preserve">4. MiCAR-Compliance</w:t>
      </w:r>
    </w:p>
    <w:p>
      <w:r>
        <w:t xml:space="preserve">Als CASP-Antragsteller nach VO (EU) 2023/1114 beachtet das Institut bereits die MiCAR-Anforderungen an Governance (Art. 68), Interessenkonflikte (Art. 72), Eigenkapital (Art. 67) und Marktmissbrauch (Art. 89-92). White Papers fuer neue Kryptowertarten sind vor Aufnahme des Verwahrungsgeschaefts zu erstellen und der BaFin vorzulegen.</w:t>
      </w:r>
    </w:p>
    <w:p/>
    <w:p>
      <w:pPr>
        <w:pStyle w:val="Heading2"/>
      </w:pPr>
      <w:r>
        <w:rPr>
          <w:b/>
          <w:bCs/>
        </w:rPr>
        <w:t xml:space="preserve">5. Schulung und Kultur</w:t>
      </w:r>
    </w:p>
    <w:p>
      <w:r>
        <w:t xml:space="preserve">Alle AML-relevanten Mitarbeiter erhalten jaehrlich eine Pflichtschulung zu GwG, Sanktionsrecht und BAIT-Anforderungen. Die Schulungsquote muss 100 % betragen; Nichterfuellung ist dem CCO und dem Vorstand zu melden.</w:t>
      </w:r>
    </w:p>
    <w:p/>
    <w:p>
      <w:r>
        <w:t xml:space="preserve">Dieses Handbuch ersetzt Version 3.2 (Maerz 2024). Version 3.4 ist in Erarbeitung (geplant Oktober 2026).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Compliance-Handbuch Thalvenia Bank AG Version 3.3</dc:title>
  <dc:creator>Perplexity Computer</dc:creator>
  <cp:lastModifiedBy>Un-named</cp:lastModifiedBy>
  <cp:revision>1</cp:revision>
  <dcterms:created xsi:type="dcterms:W3CDTF">2026-05-30T20:50:17.169Z</dcterms:created>
  <dcterms:modified xsi:type="dcterms:W3CDTF">2026-05-30T20:50:17.169Z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