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b/>
          <w:bCs/>
        </w:rPr>
        <w:t xml:space="preserve">Thalvenia Bank AG</w:t>
      </w:r>
    </w:p>
    <w:p>
      <w:r>
        <w:rPr>
          <w:b/>
          <w:bCs/>
        </w:rPr>
        <w:t xml:space="preserve">Stellungnahme des Vorstands zur BaFin-Anhoerung</w:t>
      </w:r>
    </w:p>
    <w:p>
      <w:r>
        <w:t xml:space="preserve">Az. BaFin VBS 4 1 7-K-22-188/2026</w:t>
      </w:r>
    </w:p>
    <w:p>
      <w:r>
        <w:t xml:space="preserve">Datum: 28. Juli 2026</w:t>
      </w:r>
    </w:p>
    <w:p/>
    <w:p>
      <w:r>
        <w:t xml:space="preserve">Absender: Thalvenia Bank AG, vertreten durch den Vorstand</w:t>
      </w:r>
    </w:p>
    <w:p>
      <w:r>
        <w:t xml:space="preserve">Adressat: Bundesanstalt fuer Finanzdienstleistungsaufsicht, Referat VBS 4</w:t>
      </w:r>
    </w:p>
    <w:p>
      <w:r>
        <w:t xml:space="preserve">Bearbeitung: Schwertbeck Roosendaal mbB, Frankfurt am Main (Az. SR-2026-FIN-0612)</w:t>
      </w:r>
    </w:p>
    <w:p/>
    <w:p>
      <w:pPr>
        <w:pStyle w:val="Heading2"/>
      </w:pPr>
      <w:r>
        <w:rPr>
          <w:b/>
          <w:bCs/>
        </w:rPr>
        <w:t xml:space="preserve">I. Vorbemerkung</w:t>
      </w:r>
    </w:p>
    <w:p>
      <w:r>
        <w:t xml:space="preserve">Die Thalvenia Bank AG begruesst die Moeglichkeit zur Stellungnahme nach § 28 Abs. 1 VwVfG. Der Vorstand nimmt die im Anhoerungsschreiben vom 14. Juli 2026 festgestellten Maengel ernst und hat umfangreiche Abhilfemassnahmen ergriffen.</w:t>
      </w:r>
    </w:p>
    <w:p/>
    <w:p>
      <w:pPr>
        <w:pStyle w:val="Heading2"/>
      </w:pPr>
      <w:r>
        <w:rPr>
          <w:b/>
          <w:bCs/>
        </w:rPr>
        <w:t xml:space="preserve">II. Zum Cybervorfall Januar 2026</w:t>
      </w:r>
    </w:p>
    <w:p>
      <w:r>
        <w:t xml:space="preserve">Das Institut erkennt an, dass die BaFin-Meldung vom 13. Januar 2026 die Frist des BAIT Tz. 55 nicht einhielt. Es handelte sich um eine Fehlklassifizierung beim initialen SIEM-Alarm um 02:17 Uhr, nicht um eine bewusste Fristversaeunis.</w:t>
      </w:r>
    </w:p>
    <w:p>
      <w:r>
        <w:t xml:space="preserve">Der SOC-Mitarbeiter im Schichtbetrieb bewertete den Alarm aufgrund einer Aehnlichkeit mit bekannten Fehlalarmustern als False Positive. Erst mit der Entdeckung verschluesselter Server um 08:10 Uhr war eine zuverlaessige Klassifizierung moeglich.</w:t>
      </w:r>
    </w:p>
    <w:p>
      <w:r>
        <w:t xml:space="preserve">Das Institut hat seitdem alle SOC-Eskalationsprozesse ueberarbeitet. Die neue interne Anweisung verpflichtet zur sofortigen BaFin-Meldung ab Inkrafttreten des IT-Notfalls Stufe 2, unabhaengig vom Informationsstand.</w:t>
      </w:r>
    </w:p>
    <w:p/>
    <w:p>
      <w:pPr>
        <w:pStyle w:val="Heading2"/>
      </w:pPr>
      <w:r>
        <w:rPr>
          <w:b/>
          <w:bCs/>
        </w:rPr>
        <w:t xml:space="preserve">III. Zu den AML/KYC-Maengeln</w:t>
      </w:r>
    </w:p>
    <w:p>
      <w:r>
        <w:t xml:space="preserve">Die festgestellten KYC-Luecken werden grundsaetzlich eingeraeumt. Fuer Kunde HR-03 (fehlende WiB-Feststellung) wurde die Nacherfuellung bereits vor der Sonderpruefung eingeleitet (August 2025).</w:t>
      </w:r>
    </w:p>
    <w:p>
      <w:r>
        <w:t xml:space="preserve">Hinsichtlich des PEP-Screening-Mangels (Kunden HR-11, HR-23, HR-31) war das Institut auf die Tier-1-Abdeckung des SymphonyAI-Systems angewiesen, die dem branchenueblichen Standard entsprach. Das System wurde inzwischen auf Tier-2-Abdeckung aufgeruestet.</w:t>
      </w:r>
    </w:p>
    <w:p/>
    <w:p>
      <w:pPr>
        <w:pStyle w:val="Heading2"/>
      </w:pPr>
      <w:r>
        <w:rPr>
          <w:b/>
          <w:bCs/>
        </w:rPr>
        <w:t xml:space="preserve">IV. Remediation-Massnahmen (Auswahl)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p>
            <w:r>
              <w:rPr>
                <w:b/>
                <w:bCs/>
              </w:rPr>
              <w:t xml:space="preserve">Massnahme</w:t>
            </w:r>
          </w:p>
        </w:tc>
        <w:tc>
          <w:p>
            <w:r>
              <w:rPr>
                <w:b/>
                <w:bCs/>
              </w:rPr>
              <w:t xml:space="preserve">Status (28.07.2026)</w:t>
            </w:r>
          </w:p>
        </w:tc>
      </w:tr>
      <w:tr>
        <w:tc>
          <w:p>
            <w:r>
              <w:t xml:space="preserve">Risikoanalyse § 5 GwG aktualisiert</w:t>
            </w:r>
          </w:p>
        </w:tc>
        <w:tc>
          <w:p>
            <w:r>
              <w:t xml:space="preserve">Abgeschlossen 30.06.2026</w:t>
            </w:r>
          </w:p>
        </w:tc>
      </w:tr>
      <w:tr>
        <w:tc>
          <w:p>
            <w:r>
              <w:t xml:space="preserve">KYC-Nacherfuellung HR-03, HR-07, HR-09</w:t>
            </w:r>
          </w:p>
        </w:tc>
        <w:tc>
          <w:p>
            <w:r>
              <w:t xml:space="preserve">Abgeschlossen 30.06.2026</w:t>
            </w:r>
          </w:p>
        </w:tc>
      </w:tr>
      <w:tr>
        <w:tc>
          <w:p>
            <w:r>
              <w:t xml:space="preserve">PEP-Datenbank-Upgrade Tier 2</w:t>
            </w:r>
          </w:p>
        </w:tc>
        <w:tc>
          <w:p>
            <w:r>
              <w:t xml:space="preserve">Abgeschlossen April 2026</w:t>
            </w:r>
          </w:p>
        </w:tc>
      </w:tr>
      <w:tr>
        <w:tc>
          <w:p>
            <w:r>
              <w:t xml:space="preserve">SOC-Eskalationsprozess ueberarbeitet</w:t>
            </w:r>
          </w:p>
        </w:tc>
        <w:tc>
          <w:p>
            <w:r>
              <w:t xml:space="preserve">Abgeschlossen Februar 2026</w:t>
            </w:r>
          </w:p>
        </w:tc>
      </w:tr>
      <w:tr>
        <w:tc>
          <w:p>
            <w:r>
              <w:t xml:space="preserve">BAIT-Notfallkonzept ueberarbeitet</w:t>
            </w:r>
          </w:p>
        </w:tc>
        <w:tc>
          <w:p>
            <w:r>
              <w:t xml:space="preserve">Abgeschlossen Juli 2026</w:t>
            </w:r>
          </w:p>
        </w:tc>
      </w:tr>
      <w:tr>
        <w:tc>
          <w:p>
            <w:r>
              <w:t xml:space="preserve">AML-Schulung 100 % Abdeckung</w:t>
            </w:r>
          </w:p>
        </w:tc>
        <w:tc>
          <w:p>
            <w:r>
              <w:t xml:space="preserve">Abgeschlossen Juni 2026</w:t>
            </w:r>
          </w:p>
        </w:tc>
      </w:tr>
    </w:tbl>
    <w:p/>
    <w:p>
      <w:pPr>
        <w:pStyle w:val="Heading2"/>
      </w:pPr>
      <w:r>
        <w:rPr>
          <w:b/>
          <w:bCs/>
        </w:rPr>
        <w:t xml:space="preserve">V. Bitte</w:t>
      </w:r>
    </w:p>
    <w:p>
      <w:r>
        <w:t xml:space="preserve">Der Vorstand bittet die BaFin: (1) die Anordnung nach § 25a KWG auf noch ausstehende Massnahmen zu beschraenken; (2) beim Bussgeldverfahren die umfangreiche Remediation strafmildernd zu beruecksichtigen; (3) die MiCAR-Entscheidung nicht mit dem Bussgeldverfahren zu verknuepfen.</w:t>
      </w:r>
    </w:p>
    <w:p/>
    <w:p>
      <w:r>
        <w:t xml:space="preserve">Frankfurt am Main / Stuttgart, 28. Juli 2026</w:t>
      </w:r>
    </w:p>
    <w:p/>
    <w:p>
      <w:r>
        <w:t xml:space="preserve">Prof. Dr. Heinrich Schwertbeck</w:t>
      </w:r>
    </w:p>
    <w:p>
      <w:r>
        <w:t xml:space="preserve">Schwertbeck Roosendaal mbB</w:t>
      </w:r>
    </w:p>
    <w:p>
      <w:r>
        <w:t xml:space="preserve">(im Auftrag der Thalvenia Bank AG)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Stellungnahme des Vorstands der Thalvenia Bank AG zur BaFin-Pruefung</dc:title>
  <dc:creator>Perplexity Computer</dc:creator>
  <cp:lastModifiedBy>Un-named</cp:lastModifiedBy>
  <cp:revision>1</cp:revision>
  <dcterms:created xsi:type="dcterms:W3CDTF">2026-05-30T20:50:17.161Z</dcterms:created>
  <dcterms:modified xsi:type="dcterms:W3CDTF">2026-05-30T20:50:17.161Z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