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b/>
          <w:bCs/>
          <w:sz w:val="24"/>
          <w:szCs w:val="24"/>
        </w:rPr>
        <w:t xml:space="preserve">Spethmann, Kaltenbach &amp; Partner</w:t>
      </w:r>
      <w:r>
        <w:rPr>
          <w:sz w:val="20"/>
          <w:szCs w:val="20"/>
        </w:rPr>
        <w:t xml:space="preserve">
Rechtsanwaltsgesellschaft mbB</w:t>
      </w:r>
      <w:r>
        <w:rPr>
          <w:sz w:val="20"/>
          <w:szCs w:val="20"/>
        </w:rPr>
        <w:t xml:space="preserve">
Kaiserstraße 14, 53113 Bonn</w:t>
      </w:r>
      <w:r>
        <w:rPr>
          <w:sz w:val="20"/>
          <w:szCs w:val="20"/>
        </w:rPr>
        <w:t xml:space="preserve">
Tel.: +49 228 9876-0</w:t>
      </w:r>
    </w:p>
    <w:p/>
    <w:p>
      <w:pPr>
        <w:jc w:val="left"/>
      </w:pPr>
      <w:r>
        <w:rPr>
          <w:b/>
          <w:bCs/>
          <w:sz w:val="24"/>
          <w:szCs w:val="24"/>
        </w:rPr>
        <w:t xml:space="preserve">Landgericht Bonn</w:t>
      </w:r>
      <w:r>
        <w:rPr>
          <w:sz w:val="22"/>
          <w:szCs w:val="22"/>
        </w:rPr>
        <w:t xml:space="preserve">
Straße des Rechts 2
53113 Bonn</w:t>
      </w:r>
    </w:p>
    <w:p/>
    <w:p>
      <w:pPr>
        <w:jc w:val="right"/>
      </w:pPr>
      <w:r>
        <w:rPr>
          <w:sz w:val="22"/>
          <w:szCs w:val="22"/>
        </w:rPr>
        <w:t xml:space="preserve">Bonn, den 01. Februar 2026</w:t>
      </w:r>
    </w:p>
    <w:p/>
    <w:p>
      <w:r>
        <w:rPr>
          <w:sz w:val="22"/>
          <w:szCs w:val="22"/>
        </w:rPr>
        <w:t xml:space="preserve">In der Sache:</w:t>
      </w:r>
    </w:p>
    <w:p>
      <w:r>
        <w:rPr>
          <w:b/>
          <w:bCs/>
          <w:sz w:val="22"/>
          <w:szCs w:val="22"/>
        </w:rPr>
        <w:t xml:space="preserve">Theresia Bagheri-Aichholz, Schubertring 12, 1010 Wien (Österreich)</w:t>
      </w:r>
      <w:r>
        <w:rPr>
          <w:sz w:val="22"/>
          <w:szCs w:val="22"/>
        </w:rPr>
        <w:t xml:space="preserve"> — Klägerin —</w:t>
      </w:r>
    </w:p>
    <w:p>
      <w:pPr>
        <w:jc w:val="center"/>
      </w:pPr>
      <w:r>
        <w:rPr>
          <w:i/>
          <w:iCs/>
          <w:sz w:val="22"/>
          <w:szCs w:val="22"/>
        </w:rPr>
        <w:t xml:space="preserve">gegen</w:t>
      </w:r>
    </w:p>
    <w:p>
      <w:r>
        <w:rPr>
          <w:b/>
          <w:bCs/>
          <w:sz w:val="22"/>
          <w:szCs w:val="22"/>
        </w:rPr>
        <w:t xml:space="preserve">Dr. Reinhart Bischof-Hellberg, Schloss Bischof-Hellberg, 53177 Bonn</w:t>
      </w:r>
      <w:r>
        <w:rPr>
          <w:sz w:val="22"/>
          <w:szCs w:val="22"/>
        </w:rPr>
        <w:t xml:space="preserve"> — Beklagter —</w:t>
      </w:r>
    </w:p>
    <w:p/>
    <w:p>
      <w:pPr>
        <w:jc w:val="center"/>
      </w:pPr>
      <w:r>
        <w:rPr>
          <w:b/>
          <w:bCs/>
          <w:sz w:val="22"/>
          <w:szCs w:val="22"/>
          <w:u w:val="single"/>
        </w:rPr>
        <w:t xml:space="preserve">Aktenzeichen: LG Bonn 16 O 211/26</w:t>
      </w:r>
    </w:p>
    <w:p/>
    <w:p>
      <w:pPr>
        <w:pStyle w:val="Heading1"/>
        <w:jc w:val="center"/>
      </w:pPr>
      <w:r>
        <w:rPr>
          <w:b/>
          <w:bCs/>
          <w:sz w:val="28"/>
          <w:szCs w:val="28"/>
        </w:rPr>
        <w:t xml:space="preserve">KLAGE</w:t>
      </w:r>
    </w:p>
    <w:p>
      <w:pPr>
        <w:jc w:val="center"/>
      </w:pPr>
      <w:r>
        <w:rPr>
          <w:i/>
          <w:iCs/>
          <w:sz w:val="20"/>
          <w:szCs w:val="20"/>
        </w:rPr>
        <w:t xml:space="preserve">auf Rückzahlung einer Anzahlung aus Bereicherungsrecht
(§§ 812 Abs. 1 S. 1 1. Alt., 818 Abs. 1, 2 BGB; § 346 BGB)</w:t>
      </w:r>
    </w:p>
    <w:p/>
    <w:p>
      <w:pPr>
        <w:pStyle w:val="Heading2"/>
      </w:pPr>
      <w:r>
        <w:rPr>
          <w:b/>
          <w:bCs/>
          <w:sz w:val="24"/>
          <w:szCs w:val="24"/>
        </w:rPr>
        <w:t xml:space="preserve">I. Klageantrag</w:t>
      </w:r>
    </w:p>
    <w:p>
      <w:r>
        <w:rPr>
          <w:sz w:val="22"/>
          <w:szCs w:val="22"/>
        </w:rPr>
        <w:t xml:space="preserve">Die Klägerin beantragt:
Den Beklagten zu verurteilen, an die Klägerin einen Betrag in Höhe von 600.000,00 EUR (in Worten: sechshunderttausend Euro) nebst Zinsen in Höhe von 5 Prozent über dem jeweiligen Basiszinssatz (§ 247 BGB) seit dem 10. April 2025 zu zahlen.
Hilfsweise: Den Beklagten zu verurteilen, der Klägerin Nutzungen aus dem vorgenannten Betrag seit dem 05. März 2025 in Höhe von 4 Prozent p.a. herauszugeben (§ 818 Abs. 1 BGB).</w:t>
      </w:r>
    </w:p>
    <w:p/>
    <w:p>
      <w:pPr>
        <w:pStyle w:val="Heading2"/>
      </w:pPr>
      <w:r>
        <w:rPr>
          <w:b/>
          <w:bCs/>
          <w:sz w:val="24"/>
          <w:szCs w:val="24"/>
        </w:rPr>
        <w:t xml:space="preserve">II. Sachverhalt</w:t>
      </w:r>
    </w:p>
    <w:p>
      <w:r>
        <w:rPr>
          <w:sz w:val="22"/>
          <w:szCs w:val="22"/>
        </w:rPr>
        <w:t xml:space="preserve">1. Die Klägerin ist Sammlerin historischer Fahrzeuge mit Sitz in Wien, Österreich. Der Beklagte Dr. Reinhart Bischof-Hellberg (nachfolgend: Beklagter) ist pensionierter Anaesthesist und Inhaber einer bedeutenden Sammlung historischer Sportwagen in Bonn.</w:t>
      </w:r>
    </w:p>
    <w:p/>
    <w:p>
      <w:r>
        <w:rPr>
          <w:sz w:val="22"/>
          <w:szCs w:val="22"/>
        </w:rPr>
        <w:t xml:space="preserve">2. Am 03. März 2025 schlossen die Parteien einen Kaufvertrag über den Mercedes-Benz 300 SL Gullwing (Baujahr 1955, Fahrgestellnummer 198.040.55XXXXX, geschwärzt) zu einem Kaufpreis von 1.800.000,00 EUR ab (Anlage K1 — Kaufvertrag). Die Klägerin leistete am 05. März 2025 eine Anzahlung von 600.000,00 EUR auf das Konto des Beklagten (IBAN DE88 3806 0186 0000 1234 56), was durch den Kontoauszug der Klägerin belegt ist (Anlage K2).</w:t>
      </w:r>
    </w:p>
    <w:p/>
    <w:p>
      <w:r>
        <w:rPr>
          <w:sz w:val="22"/>
          <w:szCs w:val="22"/>
        </w:rPr>
        <w:t xml:space="preserve">3. Ohne Kenntnis und Einverständnis der Klägerin veräußerte der Beklagte das streitgegenständliche Fahrzeug am 14. März 2025 erneut an einen Dritten (Herrn Heinz-Albrecht Trappenfels, Hamburg) und übergab das Fahrzeug am 28. März 2025 an den Dritten. Die vereinbarte Lieferung an die Klägerin zum 01. Mai 2025 wurde damit unmöglich (§ 275 Abs. 1 BGB).</w:t>
      </w:r>
    </w:p>
    <w:p/>
    <w:p>
      <w:r>
        <w:rPr>
          <w:sz w:val="22"/>
          <w:szCs w:val="22"/>
        </w:rPr>
        <w:t xml:space="preserve">4. Die Klägerin erklärte mit Anwaltsschreiben vom 10. April 2025 den Rücktritt vom Kaufvertrag (§§ 326 Abs. 5, 323 BGB) und forderte den Beklagten zur Rückzahlung der Anzahlung von 600.000,00 EUR bis zum 30. April 2025 auf (Anlage K3). Der Beklagte hat bislang keine Zahlung geleistet.</w:t>
      </w:r>
    </w:p>
    <w:p/>
    <w:p>
      <w:pPr>
        <w:pStyle w:val="Heading2"/>
      </w:pPr>
      <w:r>
        <w:rPr>
          <w:b/>
          <w:bCs/>
          <w:sz w:val="24"/>
          <w:szCs w:val="24"/>
        </w:rPr>
        <w:t xml:space="preserve">III. Rechtliche Begründung</w:t>
      </w:r>
    </w:p>
    <w:p>
      <w:pPr>
        <w:pStyle w:val="Heading3"/>
      </w:pPr>
      <w:r>
        <w:rPr>
          <w:b/>
          <w:bCs/>
          <w:sz w:val="22"/>
          <w:szCs w:val="22"/>
        </w:rPr>
        <w:t xml:space="preserve">A. Bereicherungsrechtlicher Anspruch (§ 812 Abs. 1 S. 1 1. Alt. BGB)</w:t>
      </w:r>
    </w:p>
    <w:p>
      <w:r>
        <w:rPr>
          <w:sz w:val="22"/>
          <w:szCs w:val="22"/>
        </w:rPr>
        <w:t xml:space="preserve">Der Beklagte hat die Anzahlung von 600.000,00 EUR durch Leistung der Klägerin erlangt. Die Klägerin zahlte bewusst und zweckgerichtet zur Erfüllung ihrer vertraglichen Verpflichtung (Leistungskondiktion). Mit dem erklärten Rücktritt ist der Rechtsgrund (Kaufvertrag) gemäß § 812 Abs. 1 S. 2 Alt. 1 BGB entfallen (condictio ob causam finitam). § 814 BGB scheidet aus, da die Klägerin beim Zeitpunkt der Leistung keine Kenntnis vom fehlenden Rechtsgrund hatte.</w:t>
      </w:r>
    </w:p>
    <w:p/>
    <w:p>
      <w:pPr>
        <w:pStyle w:val="Heading3"/>
      </w:pPr>
      <w:r>
        <w:rPr>
          <w:b/>
          <w:bCs/>
          <w:sz w:val="22"/>
          <w:szCs w:val="22"/>
        </w:rPr>
        <w:t xml:space="preserve">B. Rücktrittsfolgenanspruch (§ 346 Abs. 1 BGB)</w:t>
      </w:r>
    </w:p>
    <w:p>
      <w:r>
        <w:rPr>
          <w:sz w:val="22"/>
          <w:szCs w:val="22"/>
        </w:rPr>
        <w:t xml:space="preserve">Nach wirksamem Rücktritt gemäß §§ 326 Abs. 5, 323 BGB sind die empfangenen Leistungen zurückzugewähren (§ 346 Abs. 1 BGB). Die Klägerin hat 600.000,00 EUR geleistet; der Beklagte hat keine Leistung erbracht. Die Rückgewährpflicht umfasst daher die volle Anzahlung.</w:t>
      </w:r>
    </w:p>
    <w:p/>
    <w:p>
      <w:pPr>
        <w:pStyle w:val="Heading3"/>
      </w:pPr>
      <w:r>
        <w:rPr>
          <w:b/>
          <w:bCs/>
          <w:sz w:val="22"/>
          <w:szCs w:val="22"/>
        </w:rPr>
        <w:t xml:space="preserve">C. Zinsen (§§ 286, 288 BGB)</w:t>
      </w:r>
    </w:p>
    <w:p>
      <w:r>
        <w:rPr>
          <w:sz w:val="22"/>
          <w:szCs w:val="22"/>
        </w:rPr>
        <w:t xml:space="preserve">Mit Ablauf der gesetzten Frist am 30. April 2025 befand sich der Beklagte in Verzug (§ 286 Abs. 1 BGB). Gesetzliche Verzugszinsen betragen 5 Prozent über dem Basiszinssatz (§ 288 Abs. 1 BGB). Hilfsweise sind ab dem 05. März 2025 (Eingang der Zahlung) Nutzungen gemäß § 818 Abs. 1 BGB i.H.v. 4 Prozent p.a. zu erstatten (BGH NJW 2009, 2739).</w:t>
      </w:r>
    </w:p>
    <w:p/>
    <w:p>
      <w:pPr>
        <w:pStyle w:val="Heading2"/>
      </w:pPr>
      <w:r>
        <w:rPr>
          <w:b/>
          <w:bCs/>
          <w:sz w:val="24"/>
          <w:szCs w:val="24"/>
        </w:rPr>
        <w:t xml:space="preserve">IV. Beweismittel</w:t>
      </w:r>
    </w:p>
    <w:p>
      <w:r>
        <w:rPr>
          <w:sz w:val="22"/>
          <w:szCs w:val="22"/>
        </w:rPr>
        <w:t xml:space="preserve">Anlage K1: Kaufvertrag vom 03. März 2025
Anlage K2: Kontoauszug Anzahlung 600.000 EUR vom 05. März 2025
Anlage K3: Rücktrittsschreiben vom 10. April 2025
Anlage K4: Sachverständigengutachten Elberfeld &amp; Partner (Fahrzeugwert)
Zeugenvernehmung: Notariat Wien (Vertragsunterzeichnung Bagheri-Aichholz)</w:t>
      </w:r>
    </w:p>
    <w:p/>
    <w:p>
      <w:pPr>
        <w:jc w:val="right"/>
      </w:pPr>
      <w:r>
        <w:rPr>
          <w:b/>
          <w:bCs/>
          <w:sz w:val="22"/>
          <w:szCs w:val="22"/>
        </w:rPr>
        <w:t xml:space="preserve">Spethmann, Kaltenbach &amp; Partner Rechtsanwaltsgesellschaft mbB
RA Dr. Tilman Spethmann
(Rechtsanwalt)</w:t>
      </w:r>
    </w:p>
    <w:p/>
    <w:p>
      <w:r>
        <w:rPr>
          <w:color w:val="808080"/>
          <w:sz w:val="16"/>
          <w:szCs w:val="16"/>
        </w:rPr>
        <w:t xml:space="preserve">Quellen: § 812 BGB https://dejure.org/gesetze/BGB/812.html | § 346 BGB https://dejure.org/gesetze/BGB/346.html | BGH NJW 2009, 2739 https://bundesgerichtshof.de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2026-05-30T17:20:21.275Z</dcterms:created>
  <dcterms:modified xsi:type="dcterms:W3CDTF">2026-05-30T17:20:21.275Z</dcterms:modified>
</cp:coreProperties>
</file>

<file path=docProps/custom.xml><?xml version="1.0" encoding="utf-8"?>
<Properties xmlns="http://schemas.openxmlformats.org/officeDocument/2006/custom-properties" xmlns:vt="http://schemas.openxmlformats.org/officeDocument/2006/docPropsVTypes"/>
</file>