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KI-Einsatzrichtlinie für Anwaltskanzleien</w:t>
      </w:r>
    </w:p>
    <w:p>
      <w:pPr>
        <w:jc w:val="center"/>
      </w:pPr>
      <w:r>
        <w:rPr>
          <w:i/>
          <w:iCs/>
        </w:rPr>
        <w:t xml:space="preserve">Vorlage / Template — Version 1.0 (April 2026)</w:t>
      </w:r>
    </w:p>
    <w:p/>
    <w:p>
      <w:pPr>
        <w:pStyle w:val="Heading2"/>
      </w:pPr>
      <w:r>
        <w:rPr>
          <w:b/>
          <w:bCs/>
          <w:sz w:val="24"/>
          <w:szCs w:val="24"/>
        </w:rPr>
        <w:t xml:space="preserve">§ 1 Geltungsbereich und Zweck</w:t>
      </w:r>
    </w:p>
    <w:p>
      <w:r>
        <w:t xml:space="preserve">Diese Richtlinie gilt für alle Mitarbeiterinnen und Mitarbeiter der Kanzlei [NAME] und regelt den Einsatz von KI-gestützten Hilfsmitteln (KI-Tools) in der anwaltlichen Praxis. Zweck ist die Sicherstellung der Einhaltung der berufsrechtlichen Pflichten nach § 43a BRAO, der Verschwiegenheitspflicht nach § 43a Abs. 2 BRAO, der datenschutzrechtlichen Anforderungen der DSGVO sowie der Anforderungen der EU-Verordnung (EU) 2024/1689 über künstliche Intelligenz.</w:t>
      </w:r>
    </w:p>
    <w:p/>
    <w:p>
      <w:pPr>
        <w:pStyle w:val="Heading2"/>
      </w:pPr>
      <w:r>
        <w:rPr>
          <w:b/>
          <w:bCs/>
          <w:sz w:val="24"/>
          <w:szCs w:val="24"/>
        </w:rPr>
        <w:t xml:space="preserve">§ 2 Zugelassene KI-Tools</w:t>
      </w:r>
    </w:p>
    <w:p>
      <w:r>
        <w:t xml:space="preserve">(1) Nur KI-Tools, die in der Anlage 1 zu dieser Richtlinie aufgeführt sind, dürfen für die anwaltliche Arbeit eingesetzt werden.</w:t>
      </w:r>
    </w:p>
    <w:p>
      <w:r>
        <w:t xml:space="preserve">(2) Voraussetzung für die Aufnahme in Anlage 1 ist: (a) Abschluss eines Auftragsverarbeitungsvertrags nach Art. 28 DSGVO; (b) Schriftliche Verschwiegenheitsverpflichtung des Anbieters; (c) Nachweis von technischen und organisatorischen Maßnahmen nach Art. 32 DSGVO; (d) Bei Hochrisiko-KI nach Anhang III KI-VO: Nachweis der Konformitätsbewertung (ab August 2026).</w:t>
      </w:r>
    </w:p>
    <w:p/>
    <w:p>
      <w:pPr>
        <w:pStyle w:val="Heading2"/>
      </w:pPr>
      <w:r>
        <w:rPr>
          <w:b/>
          <w:bCs/>
          <w:sz w:val="24"/>
          <w:szCs w:val="24"/>
        </w:rPr>
        <w:t xml:space="preserve">§ 3 Datenschutzpflichten</w:t>
      </w:r>
    </w:p>
    <w:p>
      <w:r>
        <w:t xml:space="preserve">(1) In KI-Tools dürfen nur pseudonymisierte Mandantendaten eingegeben werden. Namen, Adressen, Geburtsdaten und Identifikationsmerkmale sind vor dem Upload zu ersetzen (z.B. "Mandant A" statt des echten Namens).</w:t>
      </w:r>
    </w:p>
    <w:p>
      <w:r>
        <w:t xml:space="preserve">(2) Ausnahme: Bei Vorliegen eines wirksamen AVV nach Art. 28 DSGVO und einer schriftlichen Einwilligung des Mandanten gemäß Art. 6 Abs. 1 lit. a DSGVO können Klardaten verwendet werden.</w:t>
      </w:r>
    </w:p>
    <w:p/>
    <w:p>
      <w:pPr>
        <w:pStyle w:val="Heading2"/>
      </w:pPr>
      <w:r>
        <w:rPr>
          <w:b/>
          <w:bCs/>
          <w:sz w:val="24"/>
          <w:szCs w:val="24"/>
        </w:rPr>
        <w:t xml:space="preserve">§ 4 Qualitätssicherung</w:t>
      </w:r>
    </w:p>
    <w:p>
      <w:r>
        <w:t xml:space="preserve">(1) Jeder KI-Output muss vor der Weiterleitung an den Mandanten eigenverantwortlich geprüft werden. Die Prüfung erfolgt anhand der Checkliste in Anlage 2.</w:t>
      </w:r>
    </w:p>
    <w:p>
      <w:r>
        <w:t xml:space="preserve">(2) Warnhinweise des KI-Tools dürfen nicht entfernt oder abgeändert werden.</w:t>
      </w:r>
    </w:p>
    <w:p>
      <w:r>
        <w:t xml:space="preserve">(3) Der KI-Output wird in der Handakte zusammen mit dem Original-Warnhinweis und einer eigenen Prüfnotiz archiviert (§ 50 BRAO).</w:t>
      </w:r>
    </w:p>
    <w:p/>
    <w:p>
      <w:pPr>
        <w:pStyle w:val="Heading2"/>
      </w:pPr>
      <w:r>
        <w:rPr>
          <w:b/>
          <w:bCs/>
          <w:sz w:val="24"/>
          <w:szCs w:val="24"/>
        </w:rPr>
        <w:t xml:space="preserve">§ 5 Mandanteninformation</w:t>
      </w:r>
    </w:p>
    <w:p>
      <w:r>
        <w:t xml:space="preserve">Der Mandant wird im Mandatsbeschreibungsschreiben schriftlich darüber informiert, welche KI-Tools eingesetzt werden, welche Daten verarbeitet werden, welche Rechte der Mandant hat (Widerruf, Auskunft, Löschung nach Art. 12–22 DSGVO) und dass der Einsatz des KI-Tools die eigenverantwortliche anwaltliche Prüfung nicht ersetzt.</w:t>
      </w:r>
    </w:p>
    <w:p/>
    <w:p>
      <w:pPr>
        <w:pStyle w:val="Heading2"/>
      </w:pPr>
      <w:r>
        <w:rPr>
          <w:b/>
          <w:bCs/>
          <w:sz w:val="24"/>
          <w:szCs w:val="24"/>
        </w:rPr>
        <w:t xml:space="preserve">§ 6 Fortbildungspflicht</w:t>
      </w:r>
    </w:p>
    <w:p>
      <w:r>
        <w:t xml:space="preserve">Alle Mitarbeiterinnen und Mitarbeiter, die KI-Tools einsetzen, müssen jährlich mindestens eine Fortbildung zu Legal-Tech und Datenschutz (mindestens 3 Stunden) absolvieren. Nachweise werden in Anlage 3 dokumentiert.</w:t>
      </w:r>
    </w:p>
    <w:p/>
    <w:p>
      <w:pPr>
        <w:pStyle w:val="Heading2"/>
      </w:pPr>
      <w:r>
        <w:rPr>
          <w:b/>
          <w:bCs/>
          <w:sz w:val="24"/>
          <w:szCs w:val="24"/>
        </w:rPr>
        <w:t xml:space="preserve">§ 7 Inkrafttreten</w:t>
      </w:r>
    </w:p>
    <w:p>
      <w:r>
        <w:t xml:space="preserve">Diese Richtlinie tritt am _______ in Kraft und ist von allen Mitarbeiterinnen und Mitarbeitern zu unterzeichnen.</w:t>
      </w:r>
    </w:p>
    <w:p/>
    <w:p>
      <w:r>
        <w:t xml:space="preserve">Anlage 1: Zugelassene KI-Tools</w:t>
      </w:r>
    </w:p>
    <w:p>
      <w:r>
        <w:t xml:space="preserve">Anlage 2: Prüfcheckliste KI-Output</w:t>
      </w:r>
    </w:p>
    <w:p>
      <w:r>
        <w:t xml:space="preserve">Anlage 3: Fortbildungsnachweise</w:t>
      </w:r>
    </w:p>
    <w:p/>
    <w:p>
      <w:r>
        <w:rPr>
          <w:color w:val="666666"/>
          <w:sz w:val="18"/>
          <w:szCs w:val="18"/>
        </w:rPr>
        <w:t xml:space="preserve">Quellen: § 43a BRAO (dejure.org/gesetze/BRAO/43a.html); § 50 BRAO (dejure.org/gesetze/BRAO/50.html); Art. 28 DSGVO (eur-lex.europa.eu/legal-content/DE/TXT/?uri=CELEX%3A32016R0679); Verordnung (EU) 2024/1689 (KI-VO) (eur-lex.europa.eu/legal-content/DE/TXT/?uri=OJ:L_202401689)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2026-05-30T18:08:56.439Z</dcterms:created>
  <dcterms:modified xsi:type="dcterms:W3CDTF">2026-05-30T18:08:56.439Z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