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LANDGERICHT KÖLN</w:t>
      </w:r>
    </w:p>
    <w:p>
      <w:pPr>
        <w:jc w:val="center"/>
      </w:pPr>
      <w:r>
        <w:rPr>
          <w:b/>
          <w:bCs/>
        </w:rPr>
        <w:t xml:space="preserve">Aktenzeichen: 2 O 188/26</w:t>
      </w:r>
    </w:p>
    <w:p/>
    <w:p>
      <w:pPr>
        <w:jc w:val="center"/>
      </w:pPr>
      <w:r>
        <w:rPr>
          <w:b/>
          <w:bCs/>
          <w:sz w:val="28"/>
          <w:szCs w:val="28"/>
        </w:rPr>
        <w:t xml:space="preserve">KLAGEERWIDERUNG</w:t>
      </w:r>
    </w:p>
    <w:p/>
    <w:p>
      <w:r>
        <w:t xml:space="preserve">In dem Rechtsstreit</w:t>
      </w:r>
    </w:p>
    <w:p>
      <w:r>
        <w:rPr>
          <w:b/>
          <w:bCs/>
        </w:rPr>
        <w:t xml:space="preserve">Ulrike Habernau, Venloer Str. 431, 50825 Köln</w:t>
      </w:r>
    </w:p>
    <w:p>
      <w:r>
        <w:t xml:space="preserve">— Klägerin —</w:t>
      </w:r>
    </w:p>
    <w:p/>
    <w:p>
      <w:r>
        <w:t xml:space="preserve">gegen</w:t>
      </w:r>
    </w:p>
    <w:p/>
    <w:p>
      <w:r>
        <w:rPr>
          <w:b/>
          <w:bCs/>
        </w:rPr>
        <w:t xml:space="preserve">RA Dr. Friedhelm Rotbruch, Breite Str. 112, 50667 Köln</w:t>
      </w:r>
    </w:p>
    <w:p>
      <w:r>
        <w:t xml:space="preserve">— Beklagter —</w:t>
      </w:r>
    </w:p>
    <w:p/>
    <w:p>
      <w:r>
        <w:t xml:space="preserve">Prozessbevollmächtigter des Beklagten: RA Dr. Andreas Bremer, Kanzlei Bremer &amp; Partner, Hohenzollernring 22, 50672 Köln</w:t>
      </w:r>
    </w:p>
    <w:p/>
    <w:p>
      <w:pPr>
        <w:pStyle w:val="Heading2"/>
      </w:pPr>
      <w:r>
        <w:rPr>
          <w:b/>
          <w:bCs/>
          <w:sz w:val="26"/>
          <w:szCs w:val="26"/>
        </w:rPr>
        <w:t xml:space="preserve">I. Sachverhalt und Klagebegehren</w:t>
      </w:r>
    </w:p>
    <w:p>
      <w:r>
        <w:t xml:space="preserve">Die Klage ist vollumfänglich abzuweisen. Die Klägerin behauptet zu Unrecht, dass der Beklagte den Ehevertrag vom 28. April 2022 unzureichend geprüft habe. Der Beklagte hat die Vertragsprüfung eigenverantwortlich und mit der gebotenen Sorgfalt eines Fachanwalts für Familienrecht durchgeführt.</w:t>
      </w:r>
    </w:p>
    <w:p/>
    <w:p>
      <w:pPr>
        <w:pStyle w:val="Heading2"/>
      </w:pPr>
      <w:r>
        <w:rPr>
          <w:b/>
          <w:bCs/>
          <w:sz w:val="26"/>
          <w:szCs w:val="26"/>
        </w:rPr>
        <w:t xml:space="preserve">II. Keine Pflichtverletzung</w:t>
      </w:r>
    </w:p>
    <w:p>
      <w:r>
        <w:t xml:space="preserve">Der Beklagte hat JuristAssist Pro 5 lediglich als ergänzendes Recherchewerkzeug genutzt. Die Analyse des Ehevertrags erfolgte eigenständig und auf Grundlage seiner 24-jährigen Berufserfahrung sowie seiner Kenntnisse als Fachanwalt für Familienrecht. Das BGH-Urteil XII ZR 75/22 war zum Zeitpunkt der Beratung (März 2022) noch nicht ergangen; die Vorgängerrechtsprechung (XII ZR 65/03) deutete zwar auf ein erhöhtes Sittenwidrigkeitsrisiko bei Globalverzicht hin, ließ jedoch nicht zwingend auf eine Unwirksamkeit im vorliegenden Einzelfall schließen.</w:t>
      </w:r>
    </w:p>
    <w:p/>
    <w:p>
      <w:pPr>
        <w:pStyle w:val="Heading2"/>
      </w:pPr>
      <w:r>
        <w:rPr>
          <w:b/>
          <w:bCs/>
          <w:sz w:val="26"/>
          <w:szCs w:val="26"/>
        </w:rPr>
        <w:t xml:space="preserve">III. Fehlende Kausalität</w:t>
      </w:r>
    </w:p>
    <w:p>
      <w:r>
        <w:t xml:space="preserve">Selbst wenn eine Pflichtverletzung zu bejahen wäre, fehlt es an der haftungsbegründenden Kausalität. Die Klägerin stand bei Vertragsschluss unter erheblichem persönlichen Druck (Hochzeitsdatum fixiert; Familie des Verlobten anwesend). Sie hätte auch bei vollständiger Belehrung über ein abstraktes Sittenwidrigkeitsrisiko den Ehevertrag unterschrieben. Der Notar hat die Klägerin ausführlich nach § 17 BeurkG über die Rechtswirkungen des Vertrags belehrt.</w:t>
      </w:r>
    </w:p>
    <w:p/>
    <w:p>
      <w:pPr>
        <w:pStyle w:val="Heading2"/>
      </w:pPr>
      <w:r>
        <w:rPr>
          <w:b/>
          <w:bCs/>
          <w:sz w:val="26"/>
          <w:szCs w:val="26"/>
        </w:rPr>
        <w:t xml:space="preserve">IV. Mitverschulden (§ 254 BGB)</w:t>
      </w:r>
    </w:p>
    <w:p>
      <w:r>
        <w:t xml:space="preserve">Die Klägerin trifft ein erhebliches Mitverschulden. Als volljährige Person mit Abitur und Berufsausbildung konnte und musste sie die Tragweite eines umfassenden Verzichts auf Versorgungsausgleich, Zugewinn und Unterhalt erkennen. Die notarielle Belehrung hätte Anlass geben müssen, nachzufragen oder den Abschluss zu verweigern. Mitverschulden mindestens 30 Prozent.</w:t>
      </w:r>
    </w:p>
    <w:p/>
    <w:p>
      <w:pPr>
        <w:pStyle w:val="Heading2"/>
      </w:pPr>
      <w:r>
        <w:rPr>
          <w:b/>
          <w:bCs/>
          <w:sz w:val="26"/>
          <w:szCs w:val="26"/>
        </w:rPr>
        <w:t xml:space="preserve">V. Antrag</w:t>
      </w:r>
    </w:p>
    <w:p>
      <w:r>
        <w:t xml:space="preserve">Der Beklagte beantragt:</w:t>
      </w:r>
    </w:p>
    <w:p>
      <w:r>
        <w:t xml:space="preserve">1. Die Klage wird abgewiesen.</w:t>
      </w:r>
    </w:p>
    <w:p>
      <w:r>
        <w:t xml:space="preserve">2. Die Klägerin trägt die Kosten des Rechtsstreits.</w:t>
      </w:r>
    </w:p>
    <w:p/>
    <w:p>
      <w:r>
        <w:rPr>
          <w:i/>
          <w:iCs/>
        </w:rPr>
        <w:t xml:space="preserve">Köln, 10. April 2026</w:t>
      </w:r>
    </w:p>
    <w:p/>
    <w:p>
      <w:r>
        <w:rPr>
          <w:b/>
          <w:bCs/>
        </w:rPr>
        <w:t xml:space="preserve">RA Dr. Andreas Bremer</w:t>
      </w:r>
    </w:p>
    <w:p>
      <w:r>
        <w:t xml:space="preserve">Prozessbevollmächtigter des Beklagten</w:t>
      </w:r>
    </w:p>
    <w:p/>
    <w:p>
      <w:r>
        <w:rPr>
          <w:color w:val="999999"/>
        </w:rPr>
        <w:t xml:space="preserve">---</w:t>
      </w:r>
    </w:p>
    <w:p>
      <w:r>
        <w:rPr>
          <w:color w:val="666666"/>
          <w:sz w:val="18"/>
          <w:szCs w:val="18"/>
        </w:rPr>
        <w:t xml:space="preserve">Quelle: §§ 280, 675, 254 BGB (dejure.org/gesetze/BGB); § 17 BeurkG (dejure.org/gesetze/BeurkG/17.html); BGH XII ZR 75/22 (bundesgerichtshof.de)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2026-05-30T18:07:48.337Z</dcterms:created>
  <dcterms:modified xsi:type="dcterms:W3CDTF">2026-05-30T18:07:48.337Z</dcterms:modified>
</cp:coreProperties>
</file>

<file path=docProps/custom.xml><?xml version="1.0" encoding="utf-8"?>
<Properties xmlns="http://schemas.openxmlformats.org/officeDocument/2006/custom-properties" xmlns:vt="http://schemas.openxmlformats.org/officeDocument/2006/docPropsVTypes"/>
</file>