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Rechtsanwaltskammer Köln</w:t>
      </w:r>
    </w:p>
    <w:p>
      <w:pPr>
        <w:jc w:val="center"/>
      </w:pPr>
      <w:r>
        <w:rPr>
          <w:b/>
          <w:bCs/>
        </w:rPr>
        <w:t xml:space="preserve">Berufsrechtliche Abteilung</w:t>
      </w:r>
    </w:p>
    <w:p>
      <w:pPr>
        <w:jc w:val="center"/>
      </w:pPr>
      <w:r>
        <w:rPr>
          <w:b/>
          <w:bCs/>
        </w:rPr>
        <w:t xml:space="preserve">Az. RAK-K 2026-0188</w:t>
      </w:r>
    </w:p>
    <w:p/>
    <w:p>
      <w:pPr>
        <w:jc w:val="center"/>
      </w:pPr>
      <w:r>
        <w:rPr>
          <w:b/>
          <w:bCs/>
          <w:sz w:val="26"/>
          <w:szCs w:val="26"/>
        </w:rPr>
        <w:t xml:space="preserve">STELLUNGNAHME ZUM RÜGEVERFAHREN</w:t>
      </w:r>
    </w:p>
    <w:p/>
    <w:p>
      <w:r>
        <w:rPr>
          <w:b/>
          <w:bCs/>
        </w:rPr>
        <w:t xml:space="preserve">des RA Dr. Friedhelm Rotbruch, Breite Str. 112, 50667 Köln</w:t>
      </w:r>
    </w:p>
    <w:p/>
    <w:p>
      <w:pPr>
        <w:pStyle w:val="Heading2"/>
      </w:pPr>
      <w:r>
        <w:rPr>
          <w:b/>
          <w:bCs/>
          <w:sz w:val="24"/>
          <w:szCs w:val="24"/>
        </w:rPr>
        <w:t xml:space="preserve">I. Vorbemerkung</w:t>
      </w:r>
    </w:p>
    <w:p>
      <w:r>
        <w:t xml:space="preserve">Der Unterzeichner nimmt zu den fünf Vorwürfen des Rügeschreibens der Rechtsanwaltskammer Köln vom 28. Februar 2026 wie folgt Stellung. Er erkennt an, dass der KI-Einsatz in seiner Kanzlei retrospektiv nicht allen berufsrechtlichen Anforderungen genügt hat. Er widerspricht jedoch der Wertung, dass eine schwere Pflichtverletzung vorliegt, die eine Verweisung an das Anwaltsgericht rechtfertigen würde.</w:t>
      </w:r>
    </w:p>
    <w:p/>
    <w:p>
      <w:pPr>
        <w:pStyle w:val="Heading2"/>
      </w:pPr>
      <w:r>
        <w:rPr>
          <w:b/>
          <w:bCs/>
          <w:sz w:val="24"/>
          <w:szCs w:val="24"/>
        </w:rPr>
        <w:t xml:space="preserve">II. Zu Vorwurf 1 — Eigenverantwortlichkeit</w:t>
      </w:r>
    </w:p>
    <w:p>
      <w:r>
        <w:t xml:space="preserve">JuristAssist Pro 5 wurde nicht als Ersatz für anwaltliche Prüfung, sondern als Recherchewerkzeug eingesetzt. Die handschriftlichen Randnotizen auf dem KI-Ausdruck belegen eine tatsächliche Auseinandersetzung mit dem Dokument. Die textliche Übereinstimmung zwischen KI-Output und übersandtem Dokument erklärt sich daraus, dass das KI-Tool die wesentlichen Klauseln korrekt identifiziert hatte und keine inhaltlichen Korrekturen erforderlich waren.</w:t>
      </w:r>
    </w:p>
    <w:p/>
    <w:p>
      <w:pPr>
        <w:pStyle w:val="Heading2"/>
      </w:pPr>
      <w:r>
        <w:rPr>
          <w:b/>
          <w:bCs/>
          <w:sz w:val="24"/>
          <w:szCs w:val="24"/>
        </w:rPr>
        <w:t xml:space="preserve">III. Zu Vorwurf 2 — Datenschutz</w:t>
      </w:r>
    </w:p>
    <w:p>
      <w:r>
        <w:t xml:space="preserve">Ein formaler Auftragsverarbeitungsvertrag nach Art. 28 DSGVO lag nicht vor; dies räumt der Unterzeichner ein. Die AGB der LegalTech GmbH enthielten jedoch vergleichbare datenschutzrechtliche Zusicherungen. Ein Schaden für Frau Habernau durch die Datenverarbeitung ist nicht eingetreten und nicht behauptet worden. Seit März 2026 besteht ein formaler AVV mit der LegalTech GmbH.</w:t>
      </w:r>
    </w:p>
    <w:p/>
    <w:p>
      <w:pPr>
        <w:pStyle w:val="Heading2"/>
      </w:pPr>
      <w:r>
        <w:rPr>
          <w:b/>
          <w:bCs/>
          <w:sz w:val="24"/>
          <w:szCs w:val="24"/>
        </w:rPr>
        <w:t xml:space="preserve">IV. Zu den Vorwürfen 3, 4 und 5</w:t>
      </w:r>
    </w:p>
    <w:p>
      <w:r>
        <w:t xml:space="preserve">Zu Vorwurf 3 (Aufklärungspflicht): Die AGB-Klausel war nach damaliger Einschätzung branchenüblich. Der Unterzeichner hat zwischenzeitlich eine neue Mandatsbeschreibungsvorlage eingeführt, die eine explizite Information über den KI-Einsatz enthält.</w:t>
      </w:r>
    </w:p>
    <w:p/>
    <w:p>
      <w:r>
        <w:t xml:space="preserve">Zu Vorwurf 4 (AGB-Klausel): Die Frage der Wirksamkeit der AGB-Klausel nach § 307 BGB ist rechtlich komplex. Der Unterzeichner hat die Klausel vorsorglich aus seinen AGB gestrichen.</w:t>
      </w:r>
    </w:p>
    <w:p/>
    <w:p>
      <w:r>
        <w:t xml:space="preserve">Zu Vorwurf 5 (Versicherung): Der Unterzeichner bestreitet den Zugang des Nachtrags vom 1. Juli 2023. Eine Deckungsklage gegen die Allianz ist in Vorbereitung. Er hat zwischenzeitlich bei einem Spezialversicherer eine KI-Haftpflicht-Ergänzungsversicherung abgeschlossen.</w:t>
      </w:r>
    </w:p>
    <w:p/>
    <w:p>
      <w:pPr>
        <w:pStyle w:val="Heading2"/>
      </w:pPr>
      <w:r>
        <w:rPr>
          <w:b/>
          <w:bCs/>
          <w:sz w:val="24"/>
          <w:szCs w:val="24"/>
        </w:rPr>
        <w:t xml:space="preserve">V. Verbesserungsmaßnahmen</w:t>
      </w:r>
    </w:p>
    <w:p>
      <w:r>
        <w:t xml:space="preserve">Der Unterzeichner hat folgende Maßnahmen bereits ergriffen: (1) Schriftliche KI-Einsatzrichtlinie (Anlage); (2) AVV mit LegalTech GmbH; (3) Überarbeitete Mandatsbeschreibungsvorlage mit KI-Informationspflicht; (4) Fortbildung Legal-Tech (DAV-Seminar, 15. März 2026); (5) Löschung der unwirksamen AGB-Klausel; (6) Abschluss KI-Ergänzungsversicherung.</w:t>
      </w:r>
    </w:p>
    <w:p/>
    <w:p>
      <w:pPr>
        <w:pStyle w:val="Heading2"/>
      </w:pPr>
      <w:r>
        <w:rPr>
          <w:b/>
          <w:bCs/>
          <w:sz w:val="24"/>
          <w:szCs w:val="24"/>
        </w:rPr>
        <w:t xml:space="preserve">VI. Antrag</w:t>
      </w:r>
    </w:p>
    <w:p>
      <w:r>
        <w:t xml:space="preserve">Der Unterzeichner beantragt, das Rügeverfahren einzustellen, hilfsweise mit einer Rüge (§ 74 BRAO) zu beenden und von einer Verweisung an das Anwaltsgericht abzusehen.</w:t>
      </w:r>
    </w:p>
    <w:p/>
    <w:p>
      <w:r>
        <w:rPr>
          <w:i/>
          <w:iCs/>
        </w:rPr>
        <w:t xml:space="preserve">Köln, 15. April 2026</w:t>
      </w:r>
    </w:p>
    <w:p>
      <w:r>
        <w:rPr>
          <w:b/>
          <w:bCs/>
        </w:rPr>
        <w:t xml:space="preserve">Dr. Friedhelm Rotbruch</w:t>
      </w:r>
    </w:p>
    <w:p/>
    <w:p>
      <w:r>
        <w:rPr>
          <w:color w:val="666666"/>
          <w:sz w:val="18"/>
          <w:szCs w:val="18"/>
        </w:rPr>
        <w:t xml:space="preserve">Quellen: § 43a BRAO (dejure.org/gesetze/BRAO/43a.html); § 73 BRAO (dejure.org/gesetze/BRAO/73.html); Art. 28 DSGVO (eur-lex.europa.eu/legal-content/DE/TXT/?uri=CELEX%3A32016R0679)</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2026-05-30T18:08:23.877Z</dcterms:created>
  <dcterms:modified xsi:type="dcterms:W3CDTF">2026-05-30T18:08:23.877Z</dcterms:modified>
</cp:coreProperties>
</file>

<file path=docProps/custom.xml><?xml version="1.0" encoding="utf-8"?>
<Properties xmlns="http://schemas.openxmlformats.org/officeDocument/2006/custom-properties" xmlns:vt="http://schemas.openxmlformats.org/officeDocument/2006/docPropsVTypes"/>
</file>