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b/>
          <w:bCs/>
          <w:sz w:val="32"/>
          <w:szCs w:val="32"/>
        </w:rPr>
        <w:t xml:space="preserve">FINANZGERICHT MÜNCHEN</w:t>
      </w:r>
    </w:p>
    <w:p>
      <w:r>
        <w:t xml:space="preserve">Az.: 1 K 2188/26</w:t>
      </w:r>
    </w:p>
    <w:p/>
    <w:p>
      <w:r>
        <w:rPr>
          <w:b/>
          <w:bCs/>
          <w:sz w:val="28"/>
          <w:szCs w:val="28"/>
        </w:rPr>
        <w:t xml:space="preserve">KLAGESCHRIFT</w:t>
      </w:r>
    </w:p>
    <w:p/>
    <w:p>
      <w:r>
        <w:t xml:space="preserve">Klägerin: Marquardt Handelsvertretung Maschinenbau GmbH &amp; Co. KG</w:t>
      </w:r>
    </w:p>
    <w:p>
      <w:r>
        <w:t xml:space="preserve">Dieselstraße 14, 86167 Augsburg</w:t>
      </w:r>
    </w:p>
    <w:p>
      <w:r>
        <w:t xml:space="preserve">— vertreten durch Dr. Cornelia Vellbruck-Steinheim, RA/StB —</w:t>
      </w:r>
    </w:p>
    <w:p/>
    <w:p>
      <w:r>
        <w:t xml:space="preserve">Beklagter: Finanzamt Augsburg-Stadt, Schleißheimer Straße 132, 86150 Augsburg</w:t>
      </w:r>
    </w:p>
    <w:p/>
    <w:p>
      <w:r>
        <w:t xml:space="preserve">Streitgegenstand: Körperschaftsteuer und Gewerbesteuermessbetrag 2022</w:t>
      </w:r>
    </w:p>
    <w:p/>
    <w:p>
      <w:pPr>
        <w:pStyle w:val="Heading2"/>
      </w:pPr>
      <w:r>
        <w:t xml:space="preserve">I. Klageanträge</w:t>
      </w:r>
    </w:p>
    <w:p>
      <w:r>
        <w:t xml:space="preserve">1. Der Körperschaftsteuer-Änderungsbescheid 2022 des FA Augsburg-Stadt in Gestalt der Einspruchsentscheidung vom 15.10.2026 wird aufgehoben, soweit er über die bisher festgesetzte Steuer von EUR 366.230 hinausgeht.</w:t>
      </w:r>
    </w:p>
    <w:p>
      <w:r>
        <w:t xml:space="preserve">2. Die Zuziehung eines Bevollmächtigten für das Vorverfahren wird für notwendig erklärt (§ 139 Abs. 3 FGO).</w:t>
      </w:r>
    </w:p>
    <w:p>
      <w:r>
        <w:t xml:space="preserve">3. Hilfsweise: Die Körperschaftsteuer 2022 wird unter Berücksichtigung einer AStG-Hinzurechnung von maximal EUR 200.000 (statt EUR 510.000) festgesetzt.</w:t>
      </w:r>
    </w:p>
    <w:p/>
    <w:p>
      <w:pPr>
        <w:pStyle w:val="Heading2"/>
      </w:pPr>
      <w:r>
        <w:t xml:space="preserve">II. Zulässigkeit</w:t>
      </w:r>
    </w:p>
    <w:p>
      <w:r>
        <w:t xml:space="preserve">Die Klage ist gem. § 40 Abs. 1 FGO als Anfechtungsklage statthaft. Das Vorverfahren (§ 44 FGO) ist abgeschlossen. Die Klagefrist des § 47 FGO (1 Monat) ist gewahrt. Die Klägerin ist beschwert i.S.v. § 40 Abs. 2 FGO.</w:t>
      </w:r>
    </w:p>
    <w:p/>
    <w:p>
      <w:pPr>
        <w:pStyle w:val="Heading2"/>
      </w:pPr>
      <w:r>
        <w:t xml:space="preserve">III. Begründung</w:t>
      </w:r>
    </w:p>
    <w:p>
      <w:pPr>
        <w:pStyle w:val="Heading3"/>
      </w:pPr>
      <w:r>
        <w:t xml:space="preserve">A) Zum Hauptantrag: Rechtswidrigkeit der AStG-Hinzurechnung</w:t>
      </w:r>
    </w:p>
    <w:p>
      <w:r>
        <w:t xml:space="preserve">1. Aktive Einkünfte nach § 8 Abs. 1 Nr. 4 AStG: Die Marquardt Luxembourg S.à r.l. (LuxCo) erzielte Einkünfte aus Dienstleistungen, die funktional aktive Tätigkeiten darstellen. § 8 Abs. 1 Nr. 4 AStG nimmt solche Einkünfte aus der Hinzurechnungsbesteuerung heraus, soweit die Gesellschaft tatsächlich am allgemeinen wirtschaftlichen Verkehr teilnimmt. Dies hat die LuxCo durch Kundenbetreuung in Luxemburg, Belgien und Portugal getan.</w:t>
      </w:r>
    </w:p>
    <w:p/>
    <w:p>
      <w:r>
        <w:t xml:space="preserve">2. EU-Rechtskonformität: Nach EuGH C-196/04 (Cadbury Schweppes, https://openjur.de) ist eine nationale Hinzurechnungsbesteuerung mit der Niederlassungsfreiheit (Art. 49 AEUV) nur vereinbar, wenn sie sich auf rein künstliche Gestaltungen beschränkt. Die LuxCo ist keine rein künstliche Gestaltung; sie unterhält eine Geschäftsbeziehung mit Dritten und wird im allgemeinen Geschäftsverkehr wahrgenommen.</w:t>
      </w:r>
    </w:p>
    <w:p/>
    <w:p>
      <w:r>
        <w:t xml:space="preserve">3. Substanz-Gegenbeweis § 8 Abs. 2 AStG: Auch bei Annahme von Zwischeneinkünften steht der LuxCo der Gegenbeweis offen. Der Beweis liegt im erheblichen Reiseaufwand des GF für Kundentermine in Südeuropa (Nachweis: Reisekostenabrechnungen 2020–2024) sowie in der nachweislichen Umsatzgenerierung aus der Region.</w:t>
      </w:r>
    </w:p>
    <w:p/>
    <w:p>
      <w:pPr>
        <w:pStyle w:val="Heading3"/>
      </w:pPr>
      <w:r>
        <w:t xml:space="preserve">B) Zum Hilfsantrag: Reduzierung der Hinzurechnungsbasis</w:t>
      </w:r>
    </w:p>
    <w:p>
      <w:r>
        <w:t xml:space="preserve">Selbst wenn eine Hinzurechnung dem Grunde nach berechtigt sein sollte, ist die Hinzurechnungsbasis auf den Teil der Provisionszahlungen zu beschränken, der nicht auf aktiver Tätigkeit des GF beruht. Nach sorgfältiger Analyse entfallen auf aktive Leistungen mindestens 60% der Provisionen, sodass die Hinzrechnungsbasis auf EUR 200.000 zu reduzieren ist.</w:t>
      </w:r>
    </w:p>
    <w:p/>
    <w:p>
      <w:pPr>
        <w:pStyle w:val="Heading2"/>
      </w:pPr>
      <w:r>
        <w:t xml:space="preserve">IV. Beweisangebote</w:t>
      </w:r>
    </w:p>
    <w:p>
      <w:r>
        <w:t xml:space="preserve">• Zeuge Jean-Pierre Fontaine, Luxemburg (Geschäftspartner): Zum Inhalt und Umfang der Geschäftsbeziehung</w:t>
      </w:r>
    </w:p>
    <w:p>
      <w:r>
        <w:t xml:space="preserve">• Reisekostenbelege 2020–2024 (Luxemburg, Portugal)</w:t>
      </w:r>
    </w:p>
    <w:p>
      <w:r>
        <w:t xml:space="preserve">• E-Mail-Korrespondenz LuxCo-Account (Beiakte)</w:t>
      </w:r>
    </w:p>
    <w:p>
      <w:r>
        <w:t xml:space="preserve">• Urkunde: Agenturvertrag LuxCo — KG 2018</w:t>
      </w:r>
    </w:p>
    <w:p/>
    <w:p>
      <w:r>
        <w:t xml:space="preserve">Augsburg, Oktober 2026</w:t>
      </w:r>
    </w:p>
    <w:p/>
    <w:p>
      <w:r>
        <w:t xml:space="preserve">Dr. Cornelia Vellbruck-Steinheim</w:t>
      </w:r>
    </w:p>
    <w:p>
      <w:r>
        <w:t xml:space="preserve">Rechtsanwältin / Steuerberaterin</w:t>
      </w:r>
    </w:p>
    <w:p>
      <w:r>
        <w:rPr>
          <w:i/>
          <w:iCs/>
          <w:sz w:val="16"/>
          <w:szCs w:val="16"/>
        </w:rPr>
        <w:t xml:space="preserve">Quellen: § 40 FGO https://dejure.org/gesetze/FGO/40.html | § 65 FGO https://dejure.org/gesetze/FGO/65.html | §§ 7 ff. AStG https://dejure.org/gesetze/AStG | EuGH C-196/04 https://openjur.de | BFH I R 36/14 https://www.bundesfinanzhof.de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Klageschrift FG Muenchen 1 K 2188/26</dc:title>
  <dc:creator>Perplexity Computer</dc:creator>
  <cp:lastModifiedBy>Un-named</cp:lastModifiedBy>
  <cp:revision>1</cp:revision>
  <dcterms:created xsi:type="dcterms:W3CDTF">2026-05-30T20:45:39.512Z</dcterms:created>
  <dcterms:modified xsi:type="dcterms:W3CDTF">2026-05-30T20:45:39.512Z</dcterms:modified>
</cp:coreProperties>
</file>

<file path=docProps/custom.xml><?xml version="1.0" encoding="utf-8"?>
<Properties xmlns="http://schemas.openxmlformats.org/officeDocument/2006/custom-properties" xmlns:vt="http://schemas.openxmlformats.org/officeDocument/2006/docPropsVTypes"/>
</file>