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Kanzlei Dr. Vellbruck-Steinheim &amp; Roosendaal</w:t>
      </w:r>
    </w:p>
    <w:p>
      <w:r>
        <w:t xml:space="preserve">Rechtsanwältin/Steuerberaterin Dr. Cornelia Vellbruck-Steinheim | Steuerberater Dipl.-Kfm. Falk Roosendaal</w:t>
      </w:r>
    </w:p>
    <w:p>
      <w:r>
        <w:t xml:space="preserve">Maximilianstraße 48, 86150 Augsburg | Tel: +49 821 9876-0 | kanzlei@vs-steuerrecht-augsburg.de</w:t>
      </w:r>
    </w:p>
    <w:p/>
    <w:p>
      <w:pPr>
        <w:jc w:val="left"/>
      </w:pPr>
      <w:r>
        <w:t xml:space="preserve">An das</w:t>
      </w:r>
    </w:p>
    <w:p>
      <w:pPr>
        <w:jc w:val="left"/>
      </w:pPr>
      <w:r>
        <w:t xml:space="preserve">Finanzamt Augsburg-Stadt</w:t>
      </w:r>
    </w:p>
    <w:p>
      <w:pPr>
        <w:jc w:val="left"/>
      </w:pPr>
      <w:r>
        <w:t xml:space="preserve">Schleißheimer Straße 132</w:t>
      </w:r>
    </w:p>
    <w:p>
      <w:pPr>
        <w:jc w:val="left"/>
      </w:pPr>
      <w:r>
        <w:t xml:space="preserve">86150 Augsburg</w:t>
      </w:r>
    </w:p>
    <w:p/>
    <w:p>
      <w:pPr>
        <w:jc w:val="right"/>
      </w:pPr>
      <w:r>
        <w:t xml:space="preserve">Augsburg, 26.06.2026</w:t>
      </w:r>
    </w:p>
    <w:p/>
    <w:p>
      <w:r>
        <w:rPr>
          <w:b/>
          <w:bCs/>
          <w:sz w:val="28"/>
          <w:szCs w:val="28"/>
        </w:rPr>
        <w:t xml:space="preserve">Selbstanzeige gem. § 371 AO</w:t>
      </w:r>
    </w:p>
    <w:p>
      <w:r>
        <w:rPr>
          <w:b/>
          <w:bCs/>
        </w:rPr>
        <w:t xml:space="preserve">für Herrn Reinhard Marquardt-Eichenmüller, Steuernummer 142/8888/5678</w:t>
      </w:r>
    </w:p>
    <w:p>
      <w:r>
        <w:rPr>
          <w:b/>
          <w:bCs/>
        </w:rPr>
        <w:t xml:space="preserve">Nichtdeklarierte Kapitalerträge aus Luxemburger Privatkonto 2020–2024</w:t>
      </w:r>
    </w:p>
    <w:p>
      <w:r>
        <w:t xml:space="preserve">Kanzlei-AZ: VS-2026-StR-0508</w:t>
      </w:r>
    </w:p>
    <w:p/>
    <w:p>
      <w:r>
        <w:t xml:space="preserve">Sehr geehrte Damen und Herren,</w:t>
      </w:r>
    </w:p>
    <w:p/>
    <w:p>
      <w:r>
        <w:t xml:space="preserve">in Vollmacht und Auftrag unseres Mandanten, Herrn Reinhard Marquardt-Eichenmüller, erstatten wir die folgende Selbstanzeige gem. § 371 Abs. 1 AO und beantragen die Gewährung von Straffreiheit.</w:t>
      </w:r>
    </w:p>
    <w:p/>
    <w:p>
      <w:pPr>
        <w:pStyle w:val="Heading2"/>
      </w:pPr>
      <w:r>
        <w:t xml:space="preserve">I. Sachverhalt</w:t>
      </w:r>
    </w:p>
    <w:p>
      <w:r>
        <w:t xml:space="preserve">Unser Mandant unterhielt im Prüfungszeitraum 2020 bis 2024 ein Privatkonto bei der BGL BNP Paribas S.A., Luxemburg (IBAN: LU89 1234 5678 9012 3456). Auf diesem Konto wurden Kapitalerträge aus luxemburgischen Investmentfonds sowie Zinsgutschriften erzielt, die in den deutschen Einkommensteuererklärungen der Jahre 2020 bis 2024 nicht angegeben wurden.</w:t>
      </w:r>
    </w:p>
    <w:p/>
    <w:p>
      <w:pPr>
        <w:pStyle w:val="Heading2"/>
      </w:pPr>
      <w:r>
        <w:t xml:space="preserve">II. Berichtigte Angaben</w:t>
      </w:r>
    </w:p>
    <w:p>
      <w:r>
        <w:t xml:space="preserve">Die bisher unrichtig gemachten Angaben werden wie folgt berichtigt:</w:t>
      </w:r>
    </w:p>
    <w:p/>
    <w:p>
      <w:r>
        <w:rPr>
          <w:b/>
          <w:bCs/>
        </w:rPr>
        <w:t xml:space="preserve">Tabelle: Kapitalerträge Luxemburg Privatkonto 2020–2024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p>
            <w:r>
              <w:rPr>
                <w:b/>
                <w:bCs/>
              </w:rPr>
              <w:t xml:space="preserve">Veranlagungsjahr</w:t>
            </w:r>
          </w:p>
        </w:tc>
        <w:tc>
          <w:p>
            <w:r>
              <w:rPr>
                <w:b/>
                <w:bCs/>
              </w:rPr>
              <w:t xml:space="preserve">Kapitalertrag EUR</w:t>
            </w:r>
          </w:p>
        </w:tc>
        <w:tc>
          <w:p>
            <w:r>
              <w:rPr>
                <w:b/>
                <w:bCs/>
              </w:rPr>
              <w:t xml:space="preserve">KapSt 25% EUR</w:t>
            </w:r>
          </w:p>
        </w:tc>
        <w:tc>
          <w:p>
            <w:r>
              <w:rPr>
                <w:b/>
                <w:bCs/>
              </w:rPr>
              <w:t xml:space="preserve">SolZ EUR</w:t>
            </w:r>
          </w:p>
        </w:tc>
        <w:tc>
          <w:p>
            <w:r>
              <w:rPr>
                <w:b/>
                <w:bCs/>
              </w:rPr>
              <w:t xml:space="preserve">Summe EUR</w:t>
            </w:r>
          </w:p>
        </w:tc>
      </w:tr>
      <w:tr>
        <w:tc>
          <w:p>
            <w:r>
              <w:t xml:space="preserve">2020</w:t>
            </w:r>
          </w:p>
        </w:tc>
        <w:tc>
          <w:p>
            <w:r>
              <w:t xml:space="preserve">18.400</w:t>
            </w:r>
          </w:p>
        </w:tc>
        <w:tc>
          <w:p>
            <w:r>
              <w:t xml:space="preserve">4.600</w:t>
            </w:r>
          </w:p>
        </w:tc>
        <w:tc>
          <w:p>
            <w:r>
              <w:t xml:space="preserve">253</w:t>
            </w:r>
          </w:p>
        </w:tc>
        <w:tc>
          <w:p>
            <w:r>
              <w:t xml:space="preserve">4.853</w:t>
            </w:r>
          </w:p>
        </w:tc>
      </w:tr>
      <w:tr>
        <w:tc>
          <w:p>
            <w:r>
              <w:t xml:space="preserve">2021</w:t>
            </w:r>
          </w:p>
        </w:tc>
        <w:tc>
          <w:p>
            <w:r>
              <w:t xml:space="preserve">21.200</w:t>
            </w:r>
          </w:p>
        </w:tc>
        <w:tc>
          <w:p>
            <w:r>
              <w:t xml:space="preserve">5.300</w:t>
            </w:r>
          </w:p>
        </w:tc>
        <w:tc>
          <w:p>
            <w:r>
              <w:t xml:space="preserve">292</w:t>
            </w:r>
          </w:p>
        </w:tc>
        <w:tc>
          <w:p>
            <w:r>
              <w:t xml:space="preserve">5.592</w:t>
            </w:r>
          </w:p>
        </w:tc>
      </w:tr>
      <w:tr>
        <w:tc>
          <w:p>
            <w:r>
              <w:t xml:space="preserve">2022</w:t>
            </w:r>
          </w:p>
        </w:tc>
        <w:tc>
          <w:p>
            <w:r>
              <w:t xml:space="preserve">24.800</w:t>
            </w:r>
          </w:p>
        </w:tc>
        <w:tc>
          <w:p>
            <w:r>
              <w:t xml:space="preserve">6.200</w:t>
            </w:r>
          </w:p>
        </w:tc>
        <w:tc>
          <w:p>
            <w:r>
              <w:t xml:space="preserve">341</w:t>
            </w:r>
          </w:p>
        </w:tc>
        <w:tc>
          <w:p>
            <w:r>
              <w:t xml:space="preserve">6.541</w:t>
            </w:r>
          </w:p>
        </w:tc>
      </w:tr>
      <w:tr>
        <w:tc>
          <w:p>
            <w:r>
              <w:t xml:space="preserve">2023</w:t>
            </w:r>
          </w:p>
        </w:tc>
        <w:tc>
          <w:p>
            <w:r>
              <w:t xml:space="preserve">19.600</w:t>
            </w:r>
          </w:p>
        </w:tc>
        <w:tc>
          <w:p>
            <w:r>
              <w:t xml:space="preserve">4.900</w:t>
            </w:r>
          </w:p>
        </w:tc>
        <w:tc>
          <w:p>
            <w:r>
              <w:t xml:space="preserve">270</w:t>
            </w:r>
          </w:p>
        </w:tc>
        <w:tc>
          <w:p>
            <w:r>
              <w:t xml:space="preserve">5.170</w:t>
            </w:r>
          </w:p>
        </w:tc>
      </w:tr>
      <w:tr>
        <w:tc>
          <w:p>
            <w:r>
              <w:t xml:space="preserve">2024</w:t>
            </w:r>
          </w:p>
        </w:tc>
        <w:tc>
          <w:p>
            <w:r>
              <w:t xml:space="preserve">22.100</w:t>
            </w:r>
          </w:p>
        </w:tc>
        <w:tc>
          <w:p>
            <w:r>
              <w:t xml:space="preserve">5.525</w:t>
            </w:r>
          </w:p>
        </w:tc>
        <w:tc>
          <w:p>
            <w:r>
              <w:t xml:space="preserve">304</w:t>
            </w:r>
          </w:p>
        </w:tc>
        <w:tc>
          <w:p>
            <w:r>
              <w:t xml:space="preserve">5.829</w:t>
            </w:r>
          </w:p>
        </w:tc>
      </w:tr>
      <w:tr>
        <w:tc>
          <w:p>
            <w:r>
              <w:rPr>
                <w:b/>
                <w:bCs/>
              </w:rPr>
              <w:t xml:space="preserve">Summe</w:t>
            </w:r>
          </w:p>
        </w:tc>
        <w:tc>
          <w:p>
            <w:r>
              <w:rPr>
                <w:b/>
                <w:bCs/>
              </w:rPr>
              <w:t xml:space="preserve">106.100</w:t>
            </w:r>
          </w:p>
        </w:tc>
        <w:tc>
          <w:p>
            <w:r>
              <w:rPr>
                <w:b/>
                <w:bCs/>
              </w:rPr>
              <w:t xml:space="preserve">26.525</w:t>
            </w:r>
          </w:p>
        </w:tc>
        <w:tc>
          <w:p>
            <w:r>
              <w:rPr>
                <w:b/>
                <w:bCs/>
              </w:rPr>
              <w:t xml:space="preserve">1.460</w:t>
            </w:r>
          </w:p>
        </w:tc>
        <w:tc>
          <w:p>
            <w:r>
              <w:rPr>
                <w:b/>
                <w:bCs/>
              </w:rPr>
              <w:t xml:space="preserve">27.985</w:t>
            </w:r>
          </w:p>
        </w:tc>
      </w:tr>
    </w:tbl>
    <w:p/>
    <w:p>
      <w:pPr>
        <w:pStyle w:val="Heading2"/>
      </w:pPr>
      <w:r>
        <w:t xml:space="preserve">III. Nachentrichten (§ 371 Abs. 3 AO)</w:t>
      </w:r>
    </w:p>
    <w:p>
      <w:r>
        <w:t xml:space="preserve">Wir bitten, den Nachzahlungsbetrag inkl. Hinterziehungszinsen gem. § 235 AO (1,8% p.a.) mitzuteilen. Unser Mandant ist bereit, den vollständigen Betrag innerhalb von 14 Tagen nach Mitteilung zu entrichten.</w:t>
      </w:r>
    </w:p>
    <w:p/>
    <w:p>
      <w:pPr>
        <w:pStyle w:val="Heading2"/>
      </w:pPr>
      <w:r>
        <w:t xml:space="preserve">IV. Vollständigkeitserklärung (§ 371 Abs. 1 AO)</w:t>
      </w:r>
    </w:p>
    <w:p>
      <w:r>
        <w:t xml:space="preserve">Die vorstehenden Angaben sind nach Überzeugung der Unterzeichnerin vollständig und richtig. Weitere bislang nicht erklärte Einkünfte aus dem genannten Luxemburger Konto sind nicht bekannt.</w:t>
      </w:r>
    </w:p>
    <w:p/>
    <w:p>
      <w:r>
        <w:t xml:space="preserve">Mit freundlichen Grüßen</w:t>
      </w:r>
    </w:p>
    <w:p/>
    <w:p>
      <w:r>
        <w:t xml:space="preserve">Dr. Cornelia Vellbruck-Steinheim</w:t>
      </w:r>
    </w:p>
    <w:p>
      <w:r>
        <w:t xml:space="preserve">Rechtsanwältin / Steuerberaterin</w:t>
      </w:r>
    </w:p>
    <w:p/>
    <w:p>
      <w:r>
        <w:rPr>
          <w:i/>
          <w:iCs/>
          <w:sz w:val="16"/>
          <w:szCs w:val="16"/>
        </w:rPr>
        <w:t xml:space="preserve">Rechtsgrundlagen: § 371 AO (https://dejure.org/gesetze/AO/371.html), § 235 AO (https://dejure.org/gesetze/AO/235.html)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Selbstanzeige gem. § 371 AO — Marquardt / Luxemburg-Konstellation</dc:title>
  <dc:creator>Perplexity Computer</dc:creator>
  <dc:description>Selbstanzeige Kapitalertraege Luxemburg Konto</dc:description>
  <cp:lastModifiedBy>Un-named</cp:lastModifiedBy>
  <cp:revision>1</cp:revision>
  <dcterms:created xsi:type="dcterms:W3CDTF">2026-05-30T20:45:39.437Z</dcterms:created>
  <dcterms:modified xsi:type="dcterms:W3CDTF">2026-05-30T20:45:39.438Z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