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  <w:jc w:val="center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 DER SACHE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Verbraucherzentrale NRW e.V. ./. Tannenkamp Mode-Versand GmbH</w:t>
      </w:r>
    </w:p>
    <w:p>
      <w:pPr>
        <w:spacing w:after="400"/>
        <w:jc w:val="center"/>
      </w:pPr>
      <w:r>
        <w:rPr>
          <w:rFonts w:ascii="Arial" w:cs="Arial" w:eastAsia="Arial" w:hAnsi="Arial"/>
          <w:sz w:val="20"/>
          <w:szCs w:val="20"/>
        </w:rPr>
        <w:t xml:space="preserve">Az. LG Hannover 18 OH 8/26</w:t>
      </w:r>
    </w:p>
    <w:p>
      <w:pPr>
        <w:spacing w:after="60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KLAGEERWIDERUNG</w:t>
      </w:r>
    </w:p>
    <w:p>
      <w:pPr>
        <w:spacing w:after="800"/>
        <w:jc w:val="center"/>
      </w:pPr>
      <w:r>
        <w:rPr>
          <w:rFonts w:ascii="Arial" w:cs="Arial" w:eastAsia="Arial" w:hAnsi="Arial"/>
          <w:sz w:val="22"/>
          <w:szCs w:val="22"/>
        </w:rPr>
        <w:t xml:space="preserve">der Beklagten</w:t>
      </w:r>
    </w:p>
    <w:p>
      <w:pPr>
        <w:spacing w:after="400"/>
        <w:jc w:val="center"/>
      </w:pPr>
      <w:r>
        <w:rPr>
          <w:rFonts w:ascii="Arial" w:cs="Arial" w:eastAsia="Arial" w:hAnsi="Arial"/>
          <w:sz w:val="20"/>
          <w:szCs w:val="20"/>
        </w:rPr>
        <w:t xml:space="preserve">Tannenkamp Mode-Versand GmbH, Natruper Str. 218, 49090 Osnabrück</w:t>
      </w:r>
    </w:p>
    <w:p>
      <w:pPr>
        <w:spacing w:after="600"/>
        <w:jc w:val="center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— vertreten durch RA Dr. Annerose Friedrichs, IT-Recht &amp; Verbraucherschutz, Hannover —</w:t>
      </w:r>
    </w:p>
    <w:p>
      <w:pPr>
        <w:pStyle w:val="Heading1"/>
        <w:spacing w:after="200" w:before="400"/>
      </w:pPr>
      <w:r>
        <w:rPr>
          <w:rFonts w:ascii="Arial" w:cs="Arial" w:eastAsia="Arial" w:hAnsi="Arial"/>
        </w:rPr>
        <w:t xml:space="preserve">I. Anträge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Die Beklagte beantragt:</w:t>
      </w:r>
    </w:p>
    <w:p>
      <w:pPr>
        <w:spacing w:after="100"/>
        <w:ind w:left="400"/>
      </w:pPr>
      <w:r>
        <w:rPr>
          <w:rFonts w:ascii="Arial" w:cs="Arial" w:eastAsia="Arial" w:hAnsi="Arial"/>
          <w:sz w:val="20"/>
          <w:szCs w:val="20"/>
        </w:rPr>
        <w:t xml:space="preserve">1. Die Klage wird abgewiesen.</w:t>
      </w:r>
    </w:p>
    <w:p>
      <w:pPr>
        <w:spacing w:after="100"/>
        <w:ind w:left="400"/>
      </w:pPr>
      <w:r>
        <w:rPr>
          <w:rFonts w:ascii="Arial" w:cs="Arial" w:eastAsia="Arial" w:hAnsi="Arial"/>
          <w:sz w:val="20"/>
          <w:szCs w:val="20"/>
        </w:rPr>
        <w:t xml:space="preserve">2. Hilfsweise: Der Beklagten wird eine Frist bis zum 30.09.2026 zur Herstellung des WCAG 2.1 AA-konformen Zustands gewährt.</w:t>
      </w:r>
    </w:p>
    <w:p>
      <w:pPr>
        <w:spacing w:after="100"/>
        <w:ind w:left="400"/>
      </w:pPr>
      <w:r>
        <w:rPr>
          <w:rFonts w:ascii="Arial" w:cs="Arial" w:eastAsia="Arial" w:hAnsi="Arial"/>
          <w:sz w:val="20"/>
          <w:szCs w:val="20"/>
        </w:rPr>
        <w:t xml:space="preserve">3. Die Kosten des Rechtsstreits trägt die Klägerin.</w:t>
      </w:r>
    </w:p>
    <w:p>
      <w:pPr>
        <w:spacing w:after="300"/>
        <w:ind w:left="400"/>
      </w:pPr>
      <w:r>
        <w:rPr>
          <w:rFonts w:ascii="Arial" w:cs="Arial" w:eastAsia="Arial" w:hAnsi="Arial"/>
          <w:sz w:val="20"/>
          <w:szCs w:val="20"/>
        </w:rPr>
        <w:t xml:space="preserve">4. Das Urteil ist vorläufig vollstreckbar gegen Sicherheitsleistung in Höhe von 110% des vollstreckbaren Betrags.</w:t>
      </w:r>
    </w:p>
    <w:p>
      <w:pPr>
        <w:pStyle w:val="Heading1"/>
        <w:spacing w:after="200" w:before="400"/>
      </w:pPr>
      <w:r>
        <w:rPr>
          <w:rFonts w:ascii="Arial" w:cs="Arial" w:eastAsia="Arial" w:hAnsi="Arial"/>
        </w:rPr>
        <w:t xml:space="preserve">II. Sachverhalt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Die Beklagte betreibt unter tannenkamp-mode.de einen Online-Shop für Damen- und Herrenbekleidung. Das aktuelle Shopify-Theme wurde 2022 durch die Lavendelhaus Design GbR, Münster, entwickelt und implementiert.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Das Barrierefreiheitsstärkungsgesetz (BFSG) trat am 28.06.2025 in Kraft. Bis zu diesem Zeitpunkt bestand keine gesetzliche Pflicht zur WCAG 2.1 AA-Konformität für private Online-Shops. Die Beklagte hat nach Erhalt der Verstoßmeldung vom 12.03.2026 unverzüglich gehandelt und einen vollständigen WCAG-Audit sowie eine Remediation-Roadmap in Auftrag gegeben.</w:t>
      </w:r>
    </w:p>
    <w:p>
      <w:pPr>
        <w:spacing w:after="300"/>
      </w:pPr>
      <w:r>
        <w:rPr>
          <w:rFonts w:ascii="Arial" w:cs="Arial" w:eastAsia="Arial" w:hAnsi="Arial"/>
          <w:sz w:val="20"/>
          <w:szCs w:val="20"/>
        </w:rPr>
        <w:t xml:space="preserve">Phase 1 der Sanierung ist abgeschlossen (Tastaturfokus, Skip-Link, Kontrast, Erklärung zur Barrierefreiheit, Feedback-Mechanismus). Phase 2 und 3 laufen plangemäß mit Abschluss bis 30.09.2026.</w:t>
      </w:r>
    </w:p>
    <w:p>
      <w:pPr>
        <w:pStyle w:val="Heading1"/>
        <w:spacing w:after="200" w:before="400"/>
      </w:pPr>
      <w:r>
        <w:rPr>
          <w:rFonts w:ascii="Arial" w:cs="Arial" w:eastAsia="Arial" w:hAnsi="Arial"/>
        </w:rPr>
        <w:t xml:space="preserve">III. Zulässigkeit</w:t>
      </w:r>
    </w:p>
    <w:p>
      <w:pPr>
        <w:spacing w:after="300"/>
      </w:pPr>
      <w:r>
        <w:rPr>
          <w:rFonts w:ascii="Arial" w:cs="Arial" w:eastAsia="Arial" w:hAnsi="Arial"/>
          <w:sz w:val="20"/>
          <w:szCs w:val="20"/>
        </w:rPr>
        <w:t xml:space="preserve">Die Klagebefugnis der Klägerin nach § 4 UKlaG wird vorsorglich bestritten. Das BFSG ist primär öffentliches Recht; die Anwendbarkeit des VRUG auf Barrierefreiheitspflichten des BFSG als Marktverhaltensregel ist in der Literatur streitig. Die Frage bedarf gegebenenfalls näherer Prüfung durch das Gericht.</w:t>
      </w:r>
    </w:p>
    <w:p>
      <w:pPr>
        <w:pStyle w:val="Heading1"/>
        <w:spacing w:after="200" w:before="400"/>
      </w:pPr>
      <w:r>
        <w:rPr>
          <w:rFonts w:ascii="Arial" w:cs="Arial" w:eastAsia="Arial" w:hAnsi="Arial"/>
        </w:rPr>
        <w:t xml:space="preserve">IV. Begründetheit</w:t>
      </w:r>
    </w:p>
    <w:p>
      <w:pPr>
        <w:pStyle w:val="Heading2"/>
        <w:spacing w:after="120" w:before="240"/>
      </w:pPr>
      <w:r>
        <w:rPr>
          <w:rFonts w:ascii="Arial" w:cs="Arial" w:eastAsia="Arial" w:hAnsi="Arial"/>
        </w:rPr>
        <w:t xml:space="preserve">1. Unterlassung — keine Wiederholungsgefahr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Die Wiederholungsgefahr als Voraussetzung des Unterlassungsanspruchs (§ 1 UKlaG) ist durch die freiwillig eingegangenen Verpflichtungen der Beklagten ausgeräumt. Die Erklärung zur Barrierefreiheit (veröffentlicht 06.04.2026) und die verbindliche Remediation-Roadmap stellen eine hinreichende Selbstverpflichtung dar.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</w:rPr>
        <w:t xml:space="preserve">2. Beseitigungsfrist — sechs Wochen unzumutbar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Die Klägerseite beantragt eine Beseitigungsfrist von sechs Wochen. Diese Frist ist bei einem komplexen E-Commerce-System mit 2.317 betroffenen Produktbildern und tiefgreifenden Theme-Anpassungen (ca. 1.800 ARIA-Elemente) schlechterdings unzumutbar. Wir beantragen Fristverlängerung auf 30.09.2026 und bieten die Vorlage eines monatlichen Fortschrittsberichts an.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</w:rPr>
        <w:t xml:space="preserve">3. Prüfmaßstab</w:t>
      </w:r>
    </w:p>
    <w:p>
      <w:pPr>
        <w:spacing w:after="400"/>
      </w:pPr>
      <w:r>
        <w:rPr>
          <w:rFonts w:ascii="Arial" w:cs="Arial" w:eastAsia="Arial" w:hAnsi="Arial"/>
          <w:sz w:val="20"/>
          <w:szCs w:val="20"/>
        </w:rPr>
        <w:t xml:space="preserve">Maßgeblicher Standard ist EN 301 549 i.V.m. WCAG 2.1 AA, nicht BITV 2.0. BITV 2.0 gilt nur für öffentliche Stellen (§ 12 BGG). Die Klage legt keinen abweichenden Maßstab zugrunde.</w:t>
      </w:r>
    </w:p>
    <w:p>
      <w:pPr>
        <w:pStyle w:val="Heading1"/>
        <w:spacing w:after="200" w:before="400"/>
      </w:pPr>
      <w:r>
        <w:rPr>
          <w:rFonts w:ascii="Arial" w:cs="Arial" w:eastAsia="Arial" w:hAnsi="Arial"/>
        </w:rPr>
        <w:t xml:space="preserve">V. Vergleichsangebot</w:t>
      </w:r>
    </w:p>
    <w:p>
      <w:pPr>
        <w:spacing w:after="600"/>
      </w:pPr>
      <w:r>
        <w:rPr>
          <w:rFonts w:ascii="Arial" w:cs="Arial" w:eastAsia="Arial" w:hAnsi="Arial"/>
          <w:sz w:val="20"/>
          <w:szCs w:val="20"/>
        </w:rPr>
        <w:t xml:space="preserve">Die Beklagte schlägt einen Vergleich vor: Verpflichtung zur WCAG 2.1 AA-Konformität bis 30.09.2026 (verifiziert durch Drittaudit), strafbewehrt mit 5.000 EUR pro nachgewiesenem Rückfall. Kostenaufhebung. Jährliche Überprüfung durch die Klägerin auf freiwilliger Basis.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Hannover, 31. Mai 2026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Dr. Annerose Friedrichs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Rechtsanwältin</w:t>
      </w:r>
    </w:p>
    <w:p>
      <w:pPr>
        <w:spacing w:before="400"/>
      </w:pPr>
      <w:r>
        <w:rPr>
          <w:rFonts w:ascii="Arial" w:cs="Arial" w:eastAsia="Arial" w:hAnsi="Arial"/>
          <w:color w:val="7A7974"/>
          <w:sz w:val="16"/>
          <w:szCs w:val="16"/>
        </w:rPr>
        <w:t xml:space="preserve">Quellen: UKlaG (dejure.org/gesetze/UKlaG); BFSG §§ 14, 33 (dejure.org/gesetze/BFSG); ZPO §§ 253 ff. (dejure.org/gesetze/ZPO); RL EU 2019/882 (EUR-Lex 32019L0882)</w:t>
      </w:r>
    </w:p>
    <w:sectPr>
      <w:pgSz w:w="11906" w:h="16838" w:orient="portrait"/>
      <w:pgMar w:top="1134" w:right="1275" w:bottom="1134" w:left="1275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2026-05-30T18:06:59.154Z</dcterms:created>
  <dcterms:modified xsi:type="dcterms:W3CDTF">2026-05-30T18:06:59.154Z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