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Arial" w:cs="Arial" w:eastAsia="Arial" w:hAnsi="Arial"/>
          <w:sz w:val="20"/>
          <w:szCs w:val="20"/>
        </w:rPr>
        <w:t xml:space="preserve">Rechtsanwaeltin Dr. Annerose Friedrichs</w:t>
      </w:r>
    </w:p>
    <w:p>
      <w:pPr>
        <w:spacing w:after="300"/>
      </w:pPr>
      <w:r>
        <w:rPr>
          <w:rFonts w:ascii="Arial" w:cs="Arial" w:eastAsia="Arial" w:hAnsi="Arial"/>
          <w:sz w:val="20"/>
          <w:szCs w:val="20"/>
        </w:rPr>
        <w:t xml:space="preserve">IT-Recht &amp; Verbraucherschutz, Hannover</w:t>
      </w:r>
    </w:p>
    <w:p>
      <w:pPr>
        <w:spacing w:after="60"/>
      </w:pPr>
      <w:r>
        <w:rPr>
          <w:rFonts w:ascii="Arial" w:cs="Arial" w:eastAsia="Arial" w:hAnsi="Arial"/>
          <w:sz w:val="20"/>
          <w:szCs w:val="20"/>
        </w:rPr>
        <w:t xml:space="preserve">An das LAVES, Dezernat Marktueberwachung BFSG</w:t>
      </w:r>
    </w:p>
    <w:p>
      <w:pPr>
        <w:spacing w:after="300"/>
      </w:pPr>
      <w:r>
        <w:rPr>
          <w:rFonts w:ascii="Arial" w:cs="Arial" w:eastAsia="Arial" w:hAnsi="Arial"/>
          <w:sz w:val="20"/>
          <w:szCs w:val="20"/>
        </w:rPr>
        <w:t xml:space="preserve">z.Hd. Frau Regierungsinspektorin Almut Stegge</w:t>
      </w:r>
    </w:p>
    <w:p>
      <w:pPr>
        <w:spacing w:after="300"/>
        <w:jc w:val="right"/>
      </w:pPr>
      <w:r>
        <w:rPr>
          <w:rFonts w:ascii="Arial" w:cs="Arial" w:eastAsia="Arial" w:hAnsi="Arial"/>
          <w:sz w:val="20"/>
          <w:szCs w:val="20"/>
        </w:rPr>
        <w:t xml:space="preserve">Hannover, 05. April 2026</w:t>
      </w:r>
    </w:p>
    <w:p>
      <w:pPr>
        <w:spacing w:after="4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Az.: MüNI-BFSG-2026/0188 / Unser Az.: AF-IT-2026/0094</w:t>
      </w:r>
    </w:p>
    <w:p>
      <w:pPr>
        <w:spacing w:after="600"/>
        <w:jc w:val="center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STELLUNGNAHME IM MARKTÜBERWACHUNGSVERFAHREN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I. Rüge des Prüfmaßstabs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Die Behörde legt BITV 2.0 als Prüfmaßstab zugrunde. Dies ist rechtlich unzutreffend. Gemäß § 6 BFSG i.V.m. Art. 15 Abs. 3 RL EU 2019/882 gilt die Konformitätsvermutung ausschließlich bei Anwendung der harmonisierten Norm EN 301 549. BITV 2.0 gilt nur für öffentliche Stellen nach § 12 BGG. Wir bitten, das Verfahren auf Basis von EN 301 549 / WCAG 2.1 AA zu führen.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II. Sachverhaltsdarstellung und Anerkenntnis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Die Mandantin erkennt an, dass im Zeitraum 28.06.2025 bis 12.03.2026 Barrierefreiheitsmängel im Online-Shop bestanden. Die Mängel sind auf das von Lavendelhaus Design GbR entwickelte Shopify-Theme zurückzuführen. Vorsatz liegt nicht vor.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III. Abhilfemaßnahmen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Phase 1 (abgeschlossen bis 25.04.2026): Tastaturfokus wiederhergestellt; Skip-Link implementiert; Kontrastverhältnis auf 7,0:1 verbessert; Erklärung zur Barrierefreiheit veröffentlicht; Feedback-E-Mail eingerichtet. Phase 2 und 3 (bis 30.09.2026) laufen plangemäß.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IV. Ausnahmen § 38 Abs. 1 BFSG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Für die PDF-Kataloge Herbst/Winter 2024 und Frühjahr/Sommer 2025 (veröffentlicht vor dem 28.06.2025) wird die Ausnahme nach § 38 Abs. 1 BFSG geltend gemacht.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V. Antrag</w:t>
      </w:r>
    </w:p>
    <w:p>
      <w:pPr>
        <w:spacing w:after="400"/>
      </w:pPr>
      <w:r>
        <w:rPr>
          <w:rFonts w:ascii="Arial" w:cs="Arial" w:eastAsia="Arial" w:hAnsi="Arial"/>
          <w:sz w:val="20"/>
          <w:szCs w:val="20"/>
        </w:rPr>
        <w:t xml:space="preserve">Wir beantragen, von einer Untersagungsverfügung abzusehen und eine Abhilfeverfügung mit Frist bis 30.09.2026 zu erteilen. Das Bußgeld ist im untersten Rahmen zu bemessen (§ 17 Abs. 3 OWiG).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Mit freundlichen Grüßen</w:t>
      </w:r>
    </w:p>
    <w:p>
      <w:pPr>
        <w:spacing w:after="4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Dr. Annerose Friedrichs, Rechtsanwältin</w:t>
      </w:r>
    </w:p>
    <w:p>
      <w:pPr>
        <w:spacing w:before="300"/>
      </w:pPr>
      <w:r>
        <w:rPr>
          <w:rFonts w:ascii="Arial" w:cs="Arial" w:eastAsia="Arial" w:hAnsi="Arial"/>
          <w:color w:val="7A7974"/>
          <w:sz w:val="16"/>
          <w:szCs w:val="16"/>
        </w:rPr>
        <w:t xml:space="preserve">Quellen: BFSG §§ 6, 37, 38 (dejure.org/gesetze/BFSG); OWiG § 17 (dejure.org/gesetze/OWiG); RL EU 2019/882 Art. 15 (EUR-Lex 32019L0882)</w:t>
      </w:r>
    </w:p>
    <w:sectPr>
      <w:pgSz w:w="11906" w:h="16838" w:orient="portrait"/>
      <w:pgMar w:top="1134" w:right="1275" w:bottom="1134" w:left="1275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2026-05-30T18:08:57.761Z</dcterms:created>
  <dcterms:modified xsi:type="dcterms:W3CDTF">2026-05-30T18:08:57.761Z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